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9210d8k.htm"/>
      <w:bookmarkStart w:id="1" w:name="ksd892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REIN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375" w:type="dxa"/>
        <w:jc w:val="left"/>
        <w:tblInd w:w="0" w:type="dxa"/>
        <w:tblLayout w:type="fixed"/>
        <w:tblCellMar>
          <w:top w:w="0" w:type="dxa"/>
          <w:left w:w="0" w:type="dxa"/>
          <w:bottom w:w="0" w:type="dxa"/>
          <w:right w:w="0" w:type="dxa"/>
        </w:tblCellMar>
      </w:tblPr>
      <w:tblGrid>
        <w:gridCol w:w="2825"/>
        <w:gridCol w:w="60"/>
        <w:gridCol w:w="105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001-38130</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13-4196017</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4025" w:type="dxa"/>
        <w:jc w:val="left"/>
        <w:tblInd w:w="0" w:type="dxa"/>
        <w:tblLayout w:type="fixed"/>
        <w:tblCellMar>
          <w:top w:w="0" w:type="dxa"/>
          <w:left w:w="0" w:type="dxa"/>
          <w:bottom w:w="0" w:type="dxa"/>
          <w:right w:w="0" w:type="dxa"/>
        </w:tblCellMar>
      </w:tblPr>
      <w:tblGrid>
        <w:gridCol w:w="4025"/>
      </w:tblGrid>
      <w:tr>
        <w:trPr/>
        <w:tc>
          <w:tcPr>
            <w:tcW w:w="4025"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center"/>
              <w:rPr>
                <w:b/>
              </w:rPr>
            </w:pPr>
            <w:r>
              <w:rPr>
                <w:b/>
              </w:rPr>
              <w:t>12407 N. Mopac Expy., Suite 250, #390</w:t>
            </w:r>
          </w:p>
        </w:tc>
      </w:tr>
      <w:tr>
        <w:trPr/>
        <w:tc>
          <w:tcPr>
            <w:tcW w:w="4025" w:type="dxa"/>
            <w:tcBorders/>
            <w:vAlign w:val="center"/>
          </w:tcPr>
          <w:p>
            <w:pPr>
              <w:pStyle w:val="TableContents"/>
              <w:bidi w:val="0"/>
              <w:spacing w:before="0" w:after="283"/>
              <w:jc w:val="center"/>
              <w:rPr>
                <w:b/>
              </w:rPr>
            </w:pPr>
            <w:r>
              <w:rPr>
                <w:b/>
              </w:rPr>
              <w:t>Austin, Texas 78758</w:t>
            </w:r>
          </w:p>
        </w:tc>
      </w:tr>
      <w:tr>
        <w:trPr/>
        <w:tc>
          <w:tcPr>
            <w:tcW w:w="4025" w:type="dxa"/>
            <w:tcBorders/>
            <w:vAlign w:val="center"/>
          </w:tcPr>
          <w:p>
            <w:pPr>
              <w:pStyle w:val="TableContents"/>
              <w:bidi w:val="0"/>
              <w:spacing w:before="0" w:after="283"/>
              <w:jc w:val="center"/>
              <w:rPr>
                <w:b/>
              </w:rPr>
            </w:pPr>
            <w:r>
              <w:rPr>
                <w:b/>
              </w:rPr>
              <w:t>(Address of principal executive offices)</w:t>
            </w:r>
          </w:p>
        </w:tc>
      </w:tr>
    </w:tbl>
    <w:p>
      <w:pPr>
        <w:pStyle w:val="TextBody"/>
        <w:bidi w:val="0"/>
        <w:spacing w:before="240" w:after="0"/>
        <w:jc w:val="center"/>
        <w:rPr>
          <w:rFonts w:ascii="Times New Roman" w:hAnsi="Times New Roman"/>
          <w:b/>
          <w:sz w:val="20"/>
        </w:rPr>
      </w:pPr>
      <w:r>
        <w:rPr>
          <w:rFonts w:ascii="Times New Roman" w:hAnsi="Times New Roman"/>
          <w:b/>
          <w:sz w:val="20"/>
        </w:rPr>
        <w:t>(737) 802-1989</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245"/>
        <w:gridCol w:w="7400"/>
      </w:tblGrid>
      <w:tr>
        <w:trPr/>
        <w:tc>
          <w:tcPr>
            <w:tcW w:w="245"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080"/>
        <w:gridCol w:w="60"/>
        <w:gridCol w:w="740"/>
        <w:gridCol w:w="60"/>
        <w:gridCol w:w="2285"/>
      </w:tblGrid>
      <w:tr>
        <w:trPr/>
        <w:tc>
          <w:tcPr>
            <w:tcW w:w="3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0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080"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RNTX</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t> </w:t>
      </w:r>
    </w:p>
    <w:tbl>
      <w:tblPr>
        <w:tblW w:w="2975" w:type="dxa"/>
        <w:jc w:val="left"/>
        <w:tblInd w:w="0" w:type="dxa"/>
        <w:tblLayout w:type="fixed"/>
        <w:tblCellMar>
          <w:top w:w="0" w:type="dxa"/>
          <w:left w:w="0" w:type="dxa"/>
          <w:bottom w:w="0" w:type="dxa"/>
          <w:right w:w="0" w:type="dxa"/>
        </w:tblCellMar>
      </w:tblPr>
      <w:tblGrid>
        <w:gridCol w:w="75"/>
        <w:gridCol w:w="2900"/>
      </w:tblGrid>
      <w:tr>
        <w:trPr/>
        <w:tc>
          <w:tcPr>
            <w:tcW w:w="7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Emerging growth company ☐</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5.07 Submission of Matters to a Vote of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On July 20, 2026, Rein Therapeutics, Inc. held its 2026 Annual Meeting of Stockholders, for the purposes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Electing two Class III directors to serve on our Board of Directors until our 2029 annual meeting of stockholders and until their respective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an amendment to our restated certificate of incorporation to increase the number of authorized shares of common stock from 100 million shares to 200 million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Ratifying the appointment of CBIZ CPAs P.C. as our independent registered public accounting firm for the year ending December 31, 2026; and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on an advisory basis, the compensation of our named executive officers disclosed in the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stockholders elected two Class III directors, namely Josef H. von Rickenbach and Reinhard J. Ambros, Ph.D., with shares voted as follows: </w:t>
      </w:r>
    </w:p>
    <w:p>
      <w:pPr>
        <w:pStyle w:val="TextBody"/>
        <w:bidi w:val="0"/>
        <w:spacing w:before="0" w:after="0"/>
        <w:jc w:val="left"/>
        <w:rPr/>
      </w:pPr>
      <w:r>
        <w:rPr/>
        <w:t> </w:t>
      </w:r>
    </w:p>
    <w:tbl>
      <w:tblPr>
        <w:tblW w:w="5735" w:type="dxa"/>
        <w:jc w:val="left"/>
        <w:tblInd w:w="0" w:type="dxa"/>
        <w:tblLayout w:type="fixed"/>
        <w:tblCellMar>
          <w:top w:w="0" w:type="dxa"/>
          <w:left w:w="0" w:type="dxa"/>
          <w:bottom w:w="0" w:type="dxa"/>
          <w:right w:w="0" w:type="dxa"/>
        </w:tblCellMar>
      </w:tblPr>
      <w:tblGrid>
        <w:gridCol w:w="2240"/>
        <w:gridCol w:w="60"/>
        <w:gridCol w:w="1100"/>
        <w:gridCol w:w="60"/>
        <w:gridCol w:w="1100"/>
        <w:gridCol w:w="60"/>
        <w:gridCol w:w="1115"/>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Withheld</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Broker</w:t>
            </w:r>
          </w:p>
          <w:p>
            <w:pPr>
              <w:pStyle w:val="TableContents"/>
              <w:bidi w:val="0"/>
              <w:spacing w:before="0" w:after="20"/>
              <w:jc w:val="center"/>
              <w:rPr>
                <w:rFonts w:ascii="Times New Roman" w:hAnsi="Times New Roman"/>
                <w:b/>
                <w:sz w:val="16"/>
              </w:rPr>
            </w:pPr>
            <w:r>
              <w:rPr>
                <w:rFonts w:ascii="Times New Roman" w:hAnsi="Times New Roman"/>
                <w:b/>
                <w:sz w:val="16"/>
              </w:rPr>
              <w:t>Non-Votes</w:t>
            </w:r>
          </w:p>
        </w:tc>
      </w:tr>
      <w:tr>
        <w:trPr/>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Josef H. von Rickenbach</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25,402,442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13,202,963</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25,098,629</w:t>
            </w:r>
          </w:p>
        </w:tc>
      </w:tr>
      <w:tr>
        <w:trPr/>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Reinhard J. Ambros, Ph.D</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25,404,238</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13,201,167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25,098,629</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stockholders approved an amendment to our restated certificate of incorporation to increase the number of authorized shares of common stock from 100 million shares to 200 million shares, with shares voted as follows: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680"/>
        <w:gridCol w:w="60"/>
        <w:gridCol w:w="1115"/>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For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61,004,221</w:t>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Against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2,394,208</w:t>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Abstain</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305,605</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broker non-votes on the approval of the above amendment to our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stockholders ratified the appointment of CBIZ CPAs P.C. as our independent registered public accounting firm for the year ending December 31, 2026, with shares voted as follows: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680"/>
        <w:gridCol w:w="60"/>
        <w:gridCol w:w="1115"/>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For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62,953,351</w:t>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Against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172,420</w:t>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Abstain</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578,263</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broker non-votes on the ratification of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stockholders approved, on an advisory basis, the compensation of our named executive officers disclosed in the Proxy Statement, with shares voted as follows: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680"/>
        <w:gridCol w:w="60"/>
        <w:gridCol w:w="1115"/>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For</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37,628,483</w:t>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Against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914,331</w:t>
            </w:r>
          </w:p>
        </w:tc>
      </w:tr>
      <w:tr>
        <w:trPr/>
        <w:tc>
          <w:tcPr>
            <w:tcW w:w="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Abstain</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62,591</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25,098,629 broker non-votes on the approval, on an advisory basis, of the compensation of our named executive officers.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876" w:type="dxa"/>
        <w:jc w:val="left"/>
        <w:tblInd w:w="0" w:type="dxa"/>
        <w:tblLayout w:type="fixed"/>
        <w:tblCellMar>
          <w:top w:w="0" w:type="dxa"/>
          <w:left w:w="0" w:type="dxa"/>
          <w:bottom w:w="0" w:type="dxa"/>
          <w:right w:w="0" w:type="dxa"/>
        </w:tblCellMar>
      </w:tblPr>
      <w:tblGrid>
        <w:gridCol w:w="2015"/>
        <w:gridCol w:w="60"/>
        <w:gridCol w:w="23"/>
        <w:gridCol w:w="60"/>
        <w:gridCol w:w="23"/>
        <w:gridCol w:w="60"/>
        <w:gridCol w:w="3635"/>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b/>
              </w:rPr>
            </w:pPr>
            <w:r>
              <w:rPr>
                <w:b/>
              </w:rPr>
              <w:t>REIN THERAPEUTICS,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i/>
                <w:sz w:val="20"/>
              </w:rPr>
              <w:t>Brian Windsor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Brian Windsor, Ph.D.,</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680</Words>
  <Characters>3779</Characters>
  <CharactersWithSpaces>4457</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