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502285</wp:posOffset>
                </wp:positionV>
                <wp:extent cx="6896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39.55pt" to="577.5pt,39.55pt" o:allowincell="f" strokecolor="#000000" strokeweight="0.72pt">
                <w10:wrap anchorx="page" anchory="page"/>
              </v:line>
            </w:pict>
          </mc:Fallback>
        </mc:AlternateContent>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-189865</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4.9499pt" to="541.5pt,-14.9499pt" o:allowincell="f" strokecolor="#000000" strokeweight="0.7199pt"/>
            </w:pict>
          </mc:Fallback>
        </mc:AlternateContent>
      </w: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2266950</wp:posOffset>
                </wp:positionH>
                <wp:positionV relativeFrom="paragraph">
                  <wp:posOffset>-216535</wp:posOffset>
                </wp:positionV>
                <wp:extent cx="23241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pt,-17.0499pt" to="361.5pt,-17.0499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2266950</wp:posOffset>
                </wp:positionH>
                <wp:positionV relativeFrom="paragraph">
                  <wp:posOffset>71755</wp:posOffset>
                </wp:positionV>
                <wp:extent cx="2324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pt,5.65pt" to="361.5pt,5.65pt" o:allowincell="f" strokecolor="#000000" strokeweight="0.96pt"/>
            </w:pict>
          </mc:Fallback>
        </mc:AlternateConten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3" w:lineRule="exact"/>
        <w:rPr>
          <w:sz w:val="24"/>
          <w:szCs w:val="24"/>
          <w:color w:val="auto"/>
        </w:rPr>
      </w:pPr>
    </w:p>
    <w:p>
      <w:pPr>
        <w:ind w:left="480" w:hanging="480"/>
        <w:spacing w:after="0"/>
        <w:tabs>
          <w:tab w:leader="none" w:pos="480" w:val="left"/>
        </w:tabs>
        <w:numPr>
          <w:ilvl w:val="0"/>
          <w:numId w:val="1"/>
        </w:numPr>
        <w:rPr>
          <w:rFonts w:ascii="Segoe UI Symbol" w:cs="Segoe UI Symbol" w:eastAsia="Segoe UI Symbol" w:hAnsi="Segoe UI Symbol"/>
          <w:sz w:val="19"/>
          <w:szCs w:val="19"/>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7" w:lineRule="exact"/>
        <w:rPr>
          <w:sz w:val="24"/>
          <w:szCs w:val="24"/>
          <w:color w:val="auto"/>
        </w:rPr>
      </w:pPr>
    </w:p>
    <w:p>
      <w:pPr>
        <w:ind w:left="480" w:hanging="480"/>
        <w:spacing w:after="0"/>
        <w:tabs>
          <w:tab w:leader="none" w:pos="480" w:val="left"/>
        </w:tabs>
        <w:numPr>
          <w:ilvl w:val="0"/>
          <w:numId w:val="2"/>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ind w:left="480"/>
        <w:spacing w:after="0"/>
        <w:tabs>
          <w:tab w:leader="none" w:pos="528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001-38130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2266950</wp:posOffset>
                </wp:positionH>
                <wp:positionV relativeFrom="paragraph">
                  <wp:posOffset>69850</wp:posOffset>
                </wp:positionV>
                <wp:extent cx="23241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pt,5.5pt" to="361.5pt,5.5pt" o:allowincell="f" strokecolor="#000000" strokeweight="0.96pt"/>
            </w:pict>
          </mc:Fallback>
        </mc:AlternateConten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Rein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2266950</wp:posOffset>
                </wp:positionH>
                <wp:positionV relativeFrom="paragraph">
                  <wp:posOffset>55880</wp:posOffset>
                </wp:positionV>
                <wp:extent cx="23241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pt,4.4pt" to="361.5pt,4.4pt" o:allowincell="f" strokecolor="#000000" strokeweight="0.9599pt"/>
            </w:pict>
          </mc:Fallback>
        </mc:AlternateContent>
      </w:r>
    </w:p>
    <w:p>
      <w:pPr>
        <w:spacing w:after="0" w:line="129" w:lineRule="exact"/>
        <w:rPr>
          <w:sz w:val="24"/>
          <w:szCs w:val="24"/>
          <w:color w:val="auto"/>
        </w:rPr>
      </w:pPr>
    </w:p>
    <w:tbl>
      <w:tblPr>
        <w:tblLayout w:type="fixed"/>
        <w:tblInd w:w="1360" w:type="dxa"/>
        <w:tblCellMar>
          <w:top w:w="0" w:type="dxa"/>
          <w:left w:w="0" w:type="dxa"/>
          <w:bottom w:w="0" w:type="dxa"/>
          <w:right w:w="0" w:type="dxa"/>
        </w:tblCellMar>
      </w:tblPr>
      <w:tr>
        <w:trPr>
          <w:trHeight w:val="184"/>
        </w:trPr>
        <w:tc>
          <w:tcPr>
            <w:tcW w:w="4380" w:type="dxa"/>
            <w:vAlign w:val="bottom"/>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8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13-4196017</w:t>
            </w:r>
          </w:p>
        </w:tc>
      </w:tr>
      <w:tr>
        <w:trPr>
          <w:trHeight w:val="184"/>
        </w:trPr>
        <w:tc>
          <w:tcPr>
            <w:tcW w:w="4380" w:type="dxa"/>
            <w:vAlign w:val="bottom"/>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980" w:type="dxa"/>
            <w:vAlign w:val="bottom"/>
          </w:tcPr>
          <w:p>
            <w:pPr>
              <w:jc w:val="center"/>
              <w:ind w:left="1640"/>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185"/>
        </w:trPr>
        <w:tc>
          <w:tcPr>
            <w:tcW w:w="4380" w:type="dxa"/>
            <w:vAlign w:val="bottom"/>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80" w:type="dxa"/>
            <w:vAlign w:val="bottom"/>
          </w:tcPr>
          <w:p>
            <w:pPr>
              <w:jc w:val="center"/>
              <w:ind w:left="1640"/>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184"/>
        </w:trPr>
        <w:tc>
          <w:tcPr>
            <w:tcW w:w="4380" w:type="dxa"/>
            <w:vAlign w:val="bottom"/>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w w:val="99"/>
              </w:rPr>
              <w:t>12407 N. Mopac Expy.</w:t>
            </w:r>
          </w:p>
        </w:tc>
        <w:tc>
          <w:tcPr>
            <w:tcW w:w="2980" w:type="dxa"/>
            <w:vAlign w:val="bottom"/>
          </w:tcPr>
          <w:p>
            <w:pPr>
              <w:spacing w:after="0"/>
              <w:rPr>
                <w:sz w:val="15"/>
                <w:szCs w:val="15"/>
                <w:color w:val="auto"/>
              </w:rPr>
            </w:pPr>
          </w:p>
        </w:tc>
      </w:tr>
      <w:tr>
        <w:trPr>
          <w:trHeight w:val="184"/>
        </w:trPr>
        <w:tc>
          <w:tcPr>
            <w:tcW w:w="4380" w:type="dxa"/>
            <w:vAlign w:val="bottom"/>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w w:val="99"/>
              </w:rPr>
              <w:t>Suite 250 #390</w:t>
            </w:r>
          </w:p>
        </w:tc>
        <w:tc>
          <w:tcPr>
            <w:tcW w:w="2980" w:type="dxa"/>
            <w:vAlign w:val="bottom"/>
          </w:tcPr>
          <w:p>
            <w:pPr>
              <w:spacing w:after="0"/>
              <w:rPr>
                <w:sz w:val="15"/>
                <w:szCs w:val="15"/>
                <w:color w:val="auto"/>
              </w:rPr>
            </w:pPr>
          </w:p>
        </w:tc>
      </w:tr>
      <w:tr>
        <w:trPr>
          <w:trHeight w:val="185"/>
        </w:trPr>
        <w:tc>
          <w:tcPr>
            <w:tcW w:w="4380" w:type="dxa"/>
            <w:vAlign w:val="bottom"/>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Austin, TX</w:t>
            </w:r>
          </w:p>
        </w:tc>
        <w:tc>
          <w:tcPr>
            <w:tcW w:w="29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78758</w:t>
            </w:r>
          </w:p>
        </w:tc>
      </w:tr>
      <w:tr>
        <w:trPr>
          <w:trHeight w:val="220"/>
        </w:trPr>
        <w:tc>
          <w:tcPr>
            <w:tcW w:w="4380" w:type="dxa"/>
            <w:vAlign w:val="bottom"/>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80" w:type="dxa"/>
            <w:vAlign w:val="bottom"/>
          </w:tcPr>
          <w:p>
            <w:pPr>
              <w:jc w:val="center"/>
              <w:ind w:left="164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(737) 802-1989</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r>
        <w:rPr>
          <w:rFonts w:ascii="Times New Roman" w:cs="Times New Roman" w:eastAsia="Times New Roman" w:hAnsi="Times New Roman"/>
          <w:sz w:val="16"/>
          <w:szCs w:val="16"/>
          <w:color w:val="auto"/>
        </w:rPr>
        <w:t>:</w:t>
      </w:r>
    </w:p>
    <w:p>
      <w:pPr>
        <w:sectPr>
          <w:pgSz w:w="12240" w:h="15840" w:orient="portrait"/>
          <w:cols w:equalWidth="0" w:num="1">
            <w:col w:w="10780"/>
          </w:cols>
          <w:pgMar w:left="720" w:top="798" w:right="740" w:bottom="929" w:gutter="0" w:footer="0" w:header="0"/>
        </w:sectPr>
      </w:pPr>
    </w:p>
    <w:p>
      <w:pPr>
        <w:spacing w:after="0" w:line="48"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6" w:lineRule="exact"/>
        <w:rPr>
          <w:sz w:val="24"/>
          <w:szCs w:val="24"/>
          <w:color w:val="auto"/>
        </w:rPr>
      </w:pPr>
    </w:p>
    <w:p>
      <w:pPr>
        <w:sectPr>
          <w:pgSz w:w="12240" w:h="15840" w:orient="portrait"/>
          <w:cols w:equalWidth="0" w:num="3">
            <w:col w:w="4040" w:space="720"/>
            <w:col w:w="1800" w:space="720"/>
            <w:col w:w="3500"/>
          </w:cols>
          <w:pgMar w:left="720" w:top="798" w:right="740" w:bottom="929" w:gutter="0" w:footer="0" w:header="0"/>
          <w:type w:val="continuous"/>
        </w:sectPr>
      </w:pPr>
    </w:p>
    <w:p>
      <w:pPr>
        <w:ind w:left="880"/>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Times New Roman" w:cs="Times New Roman" w:eastAsia="Times New Roman" w:hAnsi="Times New Roman"/>
          <w:sz w:val="16"/>
          <w:szCs w:val="16"/>
          <w:b w:val="1"/>
          <w:bCs w:val="1"/>
          <w:color w:val="auto"/>
        </w:rPr>
        <w:t>RNTX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The Nasdaq Capital Market</w:t>
      </w:r>
    </w:p>
    <w:p>
      <w:pPr>
        <w:spacing w:after="0" w:line="38" w:lineRule="exact"/>
        <w:rPr>
          <w:sz w:val="24"/>
          <w:szCs w:val="24"/>
          <w:color w:val="auto"/>
        </w:rPr>
      </w:pPr>
    </w:p>
    <w:p>
      <w:pPr>
        <w:sectPr>
          <w:pgSz w:w="12240" w:h="15840" w:orient="portrait"/>
          <w:cols w:equalWidth="0" w:num="3">
            <w:col w:w="4440" w:space="720"/>
            <w:col w:w="1920" w:space="720"/>
            <w:col w:w="2980"/>
          </w:cols>
          <w:pgMar w:left="720" w:top="798" w:right="740" w:bottom="929"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xml:space="preserve">Securities registered pursuant to Section 12(g) of the Act: </w:t>
      </w:r>
      <w:r>
        <w:rPr>
          <w:rFonts w:ascii="Times New Roman" w:cs="Times New Roman" w:eastAsia="Times New Roman" w:hAnsi="Times New Roman"/>
          <w:sz w:val="15"/>
          <w:szCs w:val="15"/>
          <w:color w:val="auto"/>
        </w:rPr>
        <w:t>None</w:t>
      </w:r>
    </w:p>
    <w:p>
      <w:pPr>
        <w:sectPr>
          <w:pgSz w:w="12240" w:h="15840" w:orient="portrait"/>
          <w:cols w:equalWidth="0" w:num="1">
            <w:col w:w="10780"/>
          </w:cols>
          <w:pgMar w:left="720" w:top="798" w:right="740" w:bottom="929" w:gutter="0" w:footer="0" w:header="0"/>
          <w:type w:val="continuous"/>
        </w:sectPr>
      </w:pP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w:t>
      </w:r>
      <w:r>
        <w:rPr>
          <w:rFonts w:ascii="Times New Roman" w:cs="Times New Roman" w:eastAsia="Times New Roman" w:hAnsi="Times New Roman"/>
          <w:sz w:val="15"/>
          <w:szCs w:val="15"/>
          <w:color w:val="auto"/>
        </w:rPr>
        <w:t>mark if the Registrant is a well-known seasoned issuer, as defined in Rule 405 of the Securities Act. YES</w:t>
      </w:r>
      <w:r>
        <w:rPr>
          <w:rFonts w:ascii="Times New Roman" w:cs="Times New Roman" w:eastAsia="Times New Roman" w:hAnsi="Times New Roman"/>
          <w:sz w:val="17"/>
          <w:szCs w:val="17"/>
          <w:color w:val="auto"/>
        </w:rPr>
        <w:t xml:space="preserve"> </w:t>
      </w:r>
      <w:r>
        <w:rPr>
          <w:rFonts w:ascii="Segoe UI Symbol" w:cs="Segoe UI Symbol" w:eastAsia="Segoe UI Symbol" w:hAnsi="Segoe UI Symbol"/>
          <w:sz w:val="15"/>
          <w:szCs w:val="15"/>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p>
      <w:pPr>
        <w:spacing w:after="0" w:line="127" w:lineRule="exact"/>
        <w:rPr>
          <w:sz w:val="24"/>
          <w:szCs w:val="24"/>
          <w:color w:val="auto"/>
        </w:rPr>
      </w:pPr>
    </w:p>
    <w:p>
      <w:pPr>
        <w:sectPr>
          <w:pgSz w:w="12240" w:h="15840" w:orient="portrait"/>
          <w:cols w:equalWidth="0" w:num="2">
            <w:col w:w="8160" w:space="120"/>
            <w:col w:w="2500"/>
          </w:cols>
          <w:pgMar w:left="720" w:top="798" w:right="740" w:bottom="929"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Segoe UI Symbol" w:cs="Segoe UI Symbol" w:eastAsia="Segoe UI Symbol" w:hAnsi="Segoe UI Symbol"/>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Segoe UI Symbol" w:cs="Segoe UI Symbol" w:eastAsia="Segoe UI Symbol" w:hAnsi="Segoe UI Symbol"/>
          <w:sz w:val="16"/>
          <w:szCs w:val="16"/>
          <w:color w:val="auto"/>
        </w:rPr>
        <w:t>☒</w:t>
      </w:r>
    </w:p>
    <w:p>
      <w:pPr>
        <w:spacing w:after="0" w:line="61" w:lineRule="exact"/>
        <w:rPr>
          <w:sz w:val="24"/>
          <w:szCs w:val="24"/>
          <w:color w:val="auto"/>
        </w:rPr>
      </w:pPr>
    </w:p>
    <w:p>
      <w:pPr>
        <w:sectPr>
          <w:pgSz w:w="12240" w:h="15840" w:orient="portrait"/>
          <w:cols w:equalWidth="0" w:num="4">
            <w:col w:w="7540" w:space="80"/>
            <w:col w:w="120" w:space="120"/>
            <w:col w:w="240" w:space="80"/>
            <w:col w:w="2600"/>
          </w:cols>
          <w:pgMar w:left="720" w:top="798" w:right="740" w:bottom="929" w:gutter="0" w:footer="0" w:header="0"/>
          <w:type w:val="continuous"/>
        </w:sectPr>
      </w:pPr>
    </w:p>
    <w:p>
      <w:pPr>
        <w:spacing w:after="0" w:line="22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days.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48" w:lineRule="exact"/>
        <w:rPr>
          <w:sz w:val="24"/>
          <w:szCs w:val="24"/>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vMerge w:val="restart"/>
          </w:tcPr>
          <w:p>
            <w:pPr>
              <w:ind w:left="520"/>
              <w:spacing w:after="0"/>
              <w:rPr>
                <w:sz w:val="20"/>
                <w:szCs w:val="20"/>
                <w:color w:val="auto"/>
              </w:rPr>
            </w:pPr>
            <w:r>
              <w:rPr>
                <w:rFonts w:ascii="Segoe UI Symbol" w:cs="Segoe UI Symbol" w:eastAsia="Segoe UI Symbol" w:hAnsi="Segoe UI Symbol"/>
                <w:sz w:val="16"/>
                <w:szCs w:val="16"/>
                <w:color w:val="auto"/>
              </w:rPr>
              <w:t>☐</w:t>
            </w:r>
          </w:p>
        </w:tc>
        <w:tc>
          <w:tcPr>
            <w:tcW w:w="486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vMerge w:val="restart"/>
          </w:tcPr>
          <w:p>
            <w:pPr>
              <w:ind w:left="320"/>
              <w:spacing w:after="0"/>
              <w:rPr>
                <w:sz w:val="20"/>
                <w:szCs w:val="20"/>
                <w:color w:val="auto"/>
              </w:rPr>
            </w:pPr>
            <w:r>
              <w:rPr>
                <w:rFonts w:ascii="Segoe UI Symbol" w:cs="Segoe UI Symbol" w:eastAsia="Segoe UI Symbol" w:hAnsi="Segoe UI Symbol"/>
                <w:sz w:val="17"/>
                <w:szCs w:val="17"/>
                <w:color w:val="auto"/>
                <w:w w:val="95"/>
              </w:rPr>
              <w:t>☐</w:t>
            </w:r>
          </w:p>
        </w:tc>
        <w:tc>
          <w:tcPr>
            <w:tcW w:w="0" w:type="dxa"/>
            <w:vAlign w:val="bottom"/>
          </w:tcPr>
          <w:p>
            <w:pPr>
              <w:spacing w:after="0"/>
              <w:rPr>
                <w:sz w:val="1"/>
                <w:szCs w:val="1"/>
                <w:color w:val="auto"/>
              </w:rPr>
            </w:pPr>
          </w:p>
        </w:tc>
      </w:tr>
      <w:tr>
        <w:trPr>
          <w:trHeight w:val="97"/>
        </w:trPr>
        <w:tc>
          <w:tcPr>
            <w:tcW w:w="1960" w:type="dxa"/>
            <w:vAlign w:val="bottom"/>
          </w:tcPr>
          <w:p>
            <w:pPr>
              <w:spacing w:after="0"/>
              <w:rPr>
                <w:sz w:val="8"/>
                <w:szCs w:val="8"/>
                <w:color w:val="auto"/>
              </w:rPr>
            </w:pPr>
          </w:p>
        </w:tc>
        <w:tc>
          <w:tcPr>
            <w:tcW w:w="3440" w:type="dxa"/>
            <w:vAlign w:val="bottom"/>
            <w:vMerge w:val="continue"/>
          </w:tcPr>
          <w:p>
            <w:pPr>
              <w:spacing w:after="0"/>
              <w:rPr>
                <w:sz w:val="8"/>
                <w:szCs w:val="8"/>
                <w:color w:val="auto"/>
              </w:rPr>
            </w:pPr>
          </w:p>
        </w:tc>
        <w:tc>
          <w:tcPr>
            <w:tcW w:w="48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520"/>
              <w:spacing w:after="0"/>
              <w:rPr>
                <w:sz w:val="20"/>
                <w:szCs w:val="20"/>
                <w:color w:val="auto"/>
              </w:rPr>
            </w:pPr>
            <w:r>
              <w:rPr>
                <w:rFonts w:ascii="Segoe UI Symbol" w:cs="Segoe UI Symbol" w:eastAsia="Segoe UI Symbol" w:hAnsi="Segoe UI Symbol"/>
                <w:sz w:val="16"/>
                <w:szCs w:val="16"/>
                <w:color w:val="auto"/>
              </w:rPr>
              <w:t>☒</w:t>
            </w:r>
          </w:p>
        </w:tc>
        <w:tc>
          <w:tcPr>
            <w:tcW w:w="486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20"/>
              <w:spacing w:after="0"/>
              <w:rPr>
                <w:sz w:val="20"/>
                <w:szCs w:val="20"/>
                <w:color w:val="auto"/>
              </w:rPr>
            </w:pP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254"/>
        </w:trPr>
        <w:tc>
          <w:tcPr>
            <w:tcW w:w="19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86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vMerge w:val="restart"/>
          </w:tcPr>
          <w:p>
            <w:pPr>
              <w:ind w:left="320"/>
              <w:spacing w:after="0"/>
              <w:rPr>
                <w:sz w:val="20"/>
                <w:szCs w:val="20"/>
                <w:color w:val="auto"/>
              </w:rPr>
            </w:pPr>
            <w:r>
              <w:rPr>
                <w:rFonts w:ascii="Segoe UI Symbol" w:cs="Segoe UI Symbol" w:eastAsia="Segoe UI Symbol" w:hAnsi="Segoe UI Symbol"/>
                <w:sz w:val="17"/>
                <w:szCs w:val="17"/>
                <w:color w:val="auto"/>
                <w:w w:val="95"/>
              </w:rPr>
              <w:t>☐</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ind w:right="240"/>
        <w:spacing w:after="0" w:line="265" w:lineRule="auto"/>
        <w:rPr>
          <w:sz w:val="20"/>
          <w:szCs w:val="20"/>
          <w:color w:val="auto"/>
        </w:rPr>
      </w:pPr>
      <w:r>
        <w:rPr>
          <w:rFonts w:ascii="Times New Roman" w:cs="Times New Roman" w:eastAsia="Times New Roman" w:hAnsi="Times New Roman"/>
          <w:sz w:val="17"/>
          <w:szCs w:val="17"/>
          <w:color w:val="auto"/>
        </w:rPr>
        <w:t xml:space="preserve">If </w:t>
      </w:r>
      <w:r>
        <w:rPr>
          <w:rFonts w:ascii="Times New Roman" w:cs="Times New Roman" w:eastAsia="Times New Roman" w:hAnsi="Times New Roman"/>
          <w:sz w:val="15"/>
          <w:szCs w:val="15"/>
          <w:color w:val="auto"/>
        </w:rPr>
        <w:t>an emerging growth company, indicate by check mark if the registrant has elected not to use the extended transition period for complying with any new or revised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financial accounting standards provided pursuant to Section 13(a) of the Exchange Act. </w:t>
      </w:r>
      <w:r>
        <w:rPr>
          <w:rFonts w:ascii="Segoe UI Symbol" w:cs="Segoe UI Symbol" w:eastAsia="Segoe UI Symbol" w:hAnsi="Segoe UI Symbol"/>
          <w:sz w:val="17"/>
          <w:szCs w:val="17"/>
          <w:color w:val="auto"/>
        </w:rPr>
        <w:t>☐</w:t>
      </w:r>
    </w:p>
    <w:p>
      <w:pPr>
        <w:ind w:right="6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p>
    <w:p>
      <w:pPr>
        <w:spacing w:after="0" w:line="1" w:lineRule="exact"/>
        <w:rPr>
          <w:sz w:val="24"/>
          <w:szCs w:val="24"/>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61" w:lineRule="exact"/>
        <w:rPr>
          <w:sz w:val="24"/>
          <w:szCs w:val="24"/>
          <w:color w:val="auto"/>
        </w:rPr>
      </w:pPr>
    </w:p>
    <w:p>
      <w:pPr>
        <w:spacing w:after="0"/>
        <w:tabs>
          <w:tab w:leader="none" w:pos="80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48"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Segoe UI Symbol" w:cs="Segoe UI Symbol" w:eastAsia="Segoe UI Symbol" w:hAnsi="Segoe UI Symbol"/>
          <w:sz w:val="16"/>
          <w:szCs w:val="16"/>
          <w:color w:val="auto"/>
        </w:rPr>
        <w:t>☐</w:t>
      </w:r>
    </w:p>
    <w:p>
      <w:pPr>
        <w:spacing w:after="0" w:line="1" w:lineRule="exact"/>
        <w:rPr>
          <w:sz w:val="24"/>
          <w:szCs w:val="24"/>
          <w:color w:val="auto"/>
        </w:rPr>
      </w:pPr>
    </w:p>
    <w:p>
      <w:pPr>
        <w:ind w:right="220"/>
        <w:spacing w:after="0" w:line="255"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voting and non-voting common equity held by non-affiliates of the Registrant, based on the last reported sale price of the shares of common stock on The Nasdaq Capital Market was $32,264,569.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24, 2026 the Registrant has 28,039,032 shares of Common Stock, $0.001 par value per share, outstanding.</w:t>
      </w:r>
    </w:p>
    <w:p>
      <w:pPr>
        <w:spacing w:after="0" w:line="61" w:lineRule="exact"/>
        <w:rPr>
          <w:sz w:val="24"/>
          <w:szCs w:val="24"/>
          <w:color w:val="auto"/>
        </w:rPr>
      </w:pPr>
    </w:p>
    <w:p>
      <w:pPr>
        <w:ind w:right="260"/>
        <w:spacing w:after="0" w:line="258"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2025 Annual Meeting of Stockholders, which the Registrant intends to file pursuant to Regulation 14A with the Securities and Exchange Commission not later than 120 days after the end of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48260</wp:posOffset>
                </wp:positionV>
                <wp:extent cx="68961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8pt" to="541.5pt,3.8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29845</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35pt" to="541.5pt,2.35pt" o:allowincell="f" strokecolor="#000000" strokeweight="0.72pt"/>
            </w:pict>
          </mc:Fallback>
        </mc:AlternateContent>
      </w:r>
    </w:p>
    <w:p>
      <w:pPr>
        <w:sectPr>
          <w:pgSz w:w="12240" w:h="15840" w:orient="portrait"/>
          <w:cols w:equalWidth="0" w:num="1">
            <w:col w:w="10780"/>
          </w:cols>
          <w:pgMar w:left="720" w:top="798" w:right="740" w:bottom="929" w:gutter="0" w:footer="0" w:header="0"/>
          <w:type w:val="continuous"/>
        </w:sectPr>
      </w:pPr>
    </w:p>
    <w:bookmarkStart w:id="1" w:name="page2"/>
    <w:bookmarkEnd w:id="1"/>
    <w:p>
      <w:pPr>
        <w:ind w:left="39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5522595</wp:posOffset>
                </wp:positionH>
                <wp:positionV relativeFrom="paragraph">
                  <wp:posOffset>12700</wp:posOffset>
                </wp:positionV>
                <wp:extent cx="42100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85pt,1pt" to="468pt,1pt" o:allowincell="f" strokecolor="#000000" strokeweight="0.2399pt"/>
            </w:pict>
          </mc:Fallback>
        </mc:AlternateConten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PART I</w:t>
      </w:r>
    </w:p>
    <w:p>
      <w:pPr>
        <w:spacing w:after="0" w:line="14" w:lineRule="exact"/>
        <w:rPr>
          <w:sz w:val="20"/>
          <w:szCs w:val="20"/>
          <w:color w:val="auto"/>
        </w:rPr>
      </w:pPr>
    </w:p>
    <w:p>
      <w:pPr>
        <w:ind w:left="140"/>
        <w:spacing w:after="0"/>
        <w:tabs>
          <w:tab w:leader="none" w:pos="920" w:val="left"/>
          <w:tab w:leader="dot" w:pos="9220" w:val="left"/>
        </w:tabs>
        <w:rPr>
          <w:sz w:val="20"/>
          <w:szCs w:val="20"/>
          <w:color w:val="auto"/>
        </w:rPr>
      </w:pPr>
      <w:r>
        <w:rPr>
          <w:rFonts w:ascii="Times New Roman" w:cs="Times New Roman" w:eastAsia="Times New Roman" w:hAnsi="Times New Roman"/>
          <w:sz w:val="20"/>
          <w:szCs w:val="20"/>
          <w:color w:val="auto"/>
        </w:rPr>
        <w:t>Item 1.</w:t>
      </w:r>
      <w:r>
        <w:rPr>
          <w:rFonts w:ascii="Times New Roman" w:cs="Times New Roman" w:eastAsia="Times New Roman" w:hAnsi="Times New Roman"/>
          <w:sz w:val="20"/>
          <w:szCs w:val="20"/>
          <w:color w:val="1B1B1B"/>
        </w:rPr>
        <w:tab/>
        <w:t>Business</w:t>
      </w:r>
      <w:r>
        <w:rPr>
          <w:sz w:val="20"/>
          <w:szCs w:val="20"/>
          <w:color w:val="auto"/>
        </w:rPr>
        <w:tab/>
      </w:r>
      <w:r>
        <w:rPr>
          <w:rFonts w:ascii="Times New Roman" w:cs="Times New Roman" w:eastAsia="Times New Roman" w:hAnsi="Times New Roman"/>
          <w:sz w:val="20"/>
          <w:szCs w:val="20"/>
          <w:color w:val="auto"/>
        </w:rPr>
        <w:t>5</w:t>
      </w:r>
    </w:p>
    <w:p>
      <w:pPr>
        <w:spacing w:after="0" w:line="14"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 xml:space="preserve">Item 1A. </w:t>
      </w:r>
      <w:r>
        <w:rPr>
          <w:rFonts w:ascii="Times New Roman" w:cs="Times New Roman" w:eastAsia="Times New Roman" w:hAnsi="Times New Roman"/>
          <w:sz w:val="20"/>
          <w:szCs w:val="20"/>
          <w:color w:val="1B1B1B"/>
        </w:rPr>
        <w:t>Risk Factors</w:t>
      </w:r>
      <w:r>
        <w:rPr>
          <w:sz w:val="20"/>
          <w:szCs w:val="20"/>
          <w:color w:val="auto"/>
        </w:rPr>
        <w:tab/>
      </w:r>
      <w:r>
        <w:rPr>
          <w:rFonts w:ascii="Times New Roman" w:cs="Times New Roman" w:eastAsia="Times New Roman" w:hAnsi="Times New Roman"/>
          <w:sz w:val="20"/>
          <w:szCs w:val="20"/>
          <w:color w:val="auto"/>
        </w:rPr>
        <w:t>38</w:t>
      </w:r>
    </w:p>
    <w:p>
      <w:pPr>
        <w:spacing w:after="0" w:line="15"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 xml:space="preserve">Item 1B. </w:t>
      </w:r>
      <w:r>
        <w:rPr>
          <w:rFonts w:ascii="Times New Roman" w:cs="Times New Roman" w:eastAsia="Times New Roman" w:hAnsi="Times New Roman"/>
          <w:sz w:val="20"/>
          <w:szCs w:val="20"/>
          <w:color w:val="1B1B1B"/>
        </w:rPr>
        <w:t>Unresolved Staff Comments</w:t>
      </w:r>
      <w:r>
        <w:rPr>
          <w:sz w:val="20"/>
          <w:szCs w:val="20"/>
          <w:color w:val="auto"/>
        </w:rPr>
        <w:tab/>
      </w:r>
      <w:r>
        <w:rPr>
          <w:rFonts w:ascii="Times New Roman" w:cs="Times New Roman" w:eastAsia="Times New Roman" w:hAnsi="Times New Roman"/>
          <w:sz w:val="20"/>
          <w:szCs w:val="20"/>
          <w:color w:val="auto"/>
        </w:rPr>
        <w:t>81</w:t>
      </w:r>
    </w:p>
    <w:p>
      <w:pPr>
        <w:spacing w:after="0" w:line="14"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 xml:space="preserve">Item 1C. </w:t>
      </w:r>
      <w:r>
        <w:rPr>
          <w:rFonts w:ascii="Times New Roman" w:cs="Times New Roman" w:eastAsia="Times New Roman" w:hAnsi="Times New Roman"/>
          <w:sz w:val="20"/>
          <w:szCs w:val="20"/>
          <w:color w:val="1B1B1B"/>
        </w:rPr>
        <w:t>Cybersecurity</w:t>
      </w:r>
      <w:r>
        <w:rPr>
          <w:sz w:val="20"/>
          <w:szCs w:val="20"/>
          <w:color w:val="auto"/>
        </w:rPr>
        <w:tab/>
      </w:r>
      <w:r>
        <w:rPr>
          <w:rFonts w:ascii="Times New Roman" w:cs="Times New Roman" w:eastAsia="Times New Roman" w:hAnsi="Times New Roman"/>
          <w:sz w:val="20"/>
          <w:szCs w:val="20"/>
          <w:color w:val="auto"/>
        </w:rPr>
        <w:t>81</w:t>
      </w:r>
    </w:p>
    <w:p>
      <w:pPr>
        <w:spacing w:after="0" w:line="14"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2.</w:t>
      </w:r>
      <w:r>
        <w:rPr>
          <w:rFonts w:ascii="Times New Roman" w:cs="Times New Roman" w:eastAsia="Times New Roman" w:hAnsi="Times New Roman"/>
          <w:sz w:val="20"/>
          <w:szCs w:val="20"/>
          <w:color w:val="1B1B1B"/>
        </w:rPr>
        <w:tab/>
        <w:t>Properties</w:t>
      </w:r>
      <w:r>
        <w:rPr>
          <w:sz w:val="20"/>
          <w:szCs w:val="20"/>
          <w:color w:val="auto"/>
        </w:rPr>
        <w:tab/>
      </w:r>
      <w:r>
        <w:rPr>
          <w:rFonts w:ascii="Times New Roman" w:cs="Times New Roman" w:eastAsia="Times New Roman" w:hAnsi="Times New Roman"/>
          <w:sz w:val="20"/>
          <w:szCs w:val="20"/>
          <w:color w:val="auto"/>
        </w:rPr>
        <w:t>82</w:t>
      </w:r>
    </w:p>
    <w:p>
      <w:pPr>
        <w:spacing w:after="0" w:line="15"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3.</w:t>
      </w:r>
      <w:r>
        <w:rPr>
          <w:rFonts w:ascii="Times New Roman" w:cs="Times New Roman" w:eastAsia="Times New Roman" w:hAnsi="Times New Roman"/>
          <w:sz w:val="20"/>
          <w:szCs w:val="20"/>
          <w:color w:val="1B1B1B"/>
        </w:rPr>
        <w:tab/>
        <w:t>Legal Proceedings</w:t>
      </w:r>
      <w:r>
        <w:rPr>
          <w:sz w:val="20"/>
          <w:szCs w:val="20"/>
          <w:color w:val="auto"/>
        </w:rPr>
        <w:tab/>
      </w:r>
      <w:r>
        <w:rPr>
          <w:rFonts w:ascii="Times New Roman" w:cs="Times New Roman" w:eastAsia="Times New Roman" w:hAnsi="Times New Roman"/>
          <w:sz w:val="20"/>
          <w:szCs w:val="20"/>
          <w:color w:val="auto"/>
        </w:rPr>
        <w:t>82</w:t>
      </w:r>
    </w:p>
    <w:p>
      <w:pPr>
        <w:spacing w:after="0" w:line="14"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4.</w:t>
      </w:r>
      <w:r>
        <w:rPr>
          <w:rFonts w:ascii="Times New Roman" w:cs="Times New Roman" w:eastAsia="Times New Roman" w:hAnsi="Times New Roman"/>
          <w:sz w:val="20"/>
          <w:szCs w:val="20"/>
          <w:color w:val="1B1B1B"/>
        </w:rPr>
        <w:tab/>
        <w:t>Mine Safety Disclosures</w:t>
      </w:r>
      <w:r>
        <w:rPr>
          <w:sz w:val="20"/>
          <w:szCs w:val="20"/>
          <w:color w:val="auto"/>
        </w:rPr>
        <w:tab/>
      </w:r>
      <w:r>
        <w:rPr>
          <w:rFonts w:ascii="Times New Roman" w:cs="Times New Roman" w:eastAsia="Times New Roman" w:hAnsi="Times New Roman"/>
          <w:sz w:val="20"/>
          <w:szCs w:val="20"/>
          <w:color w:val="auto"/>
        </w:rPr>
        <w:t>82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PART II</w:t>
      </w:r>
    </w:p>
    <w:p>
      <w:pPr>
        <w:spacing w:after="0" w:line="24"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20"/>
          <w:szCs w:val="20"/>
          <w:color w:val="auto"/>
        </w:rPr>
        <w:t>Item 5.</w:t>
      </w:r>
      <w:r>
        <w:rPr>
          <w:rFonts w:ascii="Times New Roman" w:cs="Times New Roman" w:eastAsia="Times New Roman" w:hAnsi="Times New Roman"/>
          <w:sz w:val="20"/>
          <w:szCs w:val="20"/>
          <w:color w:val="1B1B1B"/>
        </w:rPr>
        <w:tab/>
        <w:t>Market for Registrant’s Common Equity, Related Stockholder Matters and Issuer Purchases of</w:t>
      </w:r>
    </w:p>
    <w:p>
      <w:pPr>
        <w:ind w:left="940"/>
        <w:spacing w:after="0"/>
        <w:tabs>
          <w:tab w:leader="dot" w:pos="9120" w:val="left"/>
        </w:tabs>
        <w:rPr>
          <w:sz w:val="20"/>
          <w:szCs w:val="20"/>
          <w:color w:val="auto"/>
        </w:rPr>
      </w:pPr>
      <w:r>
        <w:rPr>
          <w:rFonts w:ascii="Times New Roman" w:cs="Times New Roman" w:eastAsia="Times New Roman" w:hAnsi="Times New Roman"/>
          <w:sz w:val="20"/>
          <w:szCs w:val="20"/>
          <w:color w:val="1B1B1B"/>
        </w:rPr>
        <w:t>Equity Securities</w:t>
      </w:r>
      <w:r>
        <w:rPr>
          <w:sz w:val="20"/>
          <w:szCs w:val="20"/>
          <w:color w:val="auto"/>
        </w:rPr>
        <w:tab/>
      </w:r>
      <w:r>
        <w:rPr>
          <w:rFonts w:ascii="Times New Roman" w:cs="Times New Roman" w:eastAsia="Times New Roman" w:hAnsi="Times New Roman"/>
          <w:sz w:val="20"/>
          <w:szCs w:val="20"/>
          <w:color w:val="auto"/>
        </w:rPr>
        <w:t>83</w:t>
      </w:r>
    </w:p>
    <w:p>
      <w:pPr>
        <w:spacing w:after="0" w:line="14"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6.</w:t>
      </w:r>
      <w:r>
        <w:rPr>
          <w:rFonts w:ascii="Times New Roman" w:cs="Times New Roman" w:eastAsia="Times New Roman" w:hAnsi="Times New Roman"/>
          <w:sz w:val="20"/>
          <w:szCs w:val="20"/>
          <w:color w:val="1B1B1B"/>
        </w:rPr>
        <w:tab/>
        <w:t>[Reserved]</w:t>
      </w:r>
      <w:r>
        <w:rPr>
          <w:sz w:val="20"/>
          <w:szCs w:val="20"/>
          <w:color w:val="auto"/>
        </w:rPr>
        <w:tab/>
      </w:r>
      <w:r>
        <w:rPr>
          <w:rFonts w:ascii="Times New Roman" w:cs="Times New Roman" w:eastAsia="Times New Roman" w:hAnsi="Times New Roman"/>
          <w:sz w:val="20"/>
          <w:szCs w:val="20"/>
          <w:color w:val="auto"/>
        </w:rPr>
        <w:t>83</w:t>
      </w:r>
    </w:p>
    <w:p>
      <w:pPr>
        <w:spacing w:after="0" w:line="14"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7.</w:t>
      </w:r>
      <w:r>
        <w:rPr>
          <w:rFonts w:ascii="Times New Roman" w:cs="Times New Roman" w:eastAsia="Times New Roman" w:hAnsi="Times New Roman"/>
          <w:sz w:val="20"/>
          <w:szCs w:val="20"/>
          <w:color w:val="1B1B1B"/>
        </w:rPr>
        <w:tab/>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84</w:t>
      </w:r>
    </w:p>
    <w:p>
      <w:pPr>
        <w:spacing w:after="0" w:line="15"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 xml:space="preserve">Item 7A. </w:t>
      </w:r>
      <w:r>
        <w:rPr>
          <w:rFonts w:ascii="Times New Roman" w:cs="Times New Roman" w:eastAsia="Times New Roman" w:hAnsi="Times New Roman"/>
          <w:sz w:val="20"/>
          <w:szCs w:val="20"/>
          <w:color w:val="1B1B1B"/>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96</w:t>
      </w:r>
    </w:p>
    <w:p>
      <w:pPr>
        <w:spacing w:after="0" w:line="14"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8.</w:t>
      </w:r>
      <w:r>
        <w:rPr>
          <w:rFonts w:ascii="Times New Roman" w:cs="Times New Roman" w:eastAsia="Times New Roman" w:hAnsi="Times New Roman"/>
          <w:sz w:val="20"/>
          <w:szCs w:val="20"/>
          <w:color w:val="1B1B1B"/>
        </w:rPr>
        <w:tab/>
        <w:t>Financial Statements and Supplementary Data</w:t>
      </w:r>
      <w:r>
        <w:rPr>
          <w:sz w:val="20"/>
          <w:szCs w:val="20"/>
          <w:color w:val="auto"/>
        </w:rPr>
        <w:tab/>
      </w:r>
      <w:r>
        <w:rPr>
          <w:rFonts w:ascii="Times New Roman" w:cs="Times New Roman" w:eastAsia="Times New Roman" w:hAnsi="Times New Roman"/>
          <w:sz w:val="20"/>
          <w:szCs w:val="20"/>
          <w:color w:val="auto"/>
        </w:rPr>
        <w:t>96</w:t>
      </w:r>
    </w:p>
    <w:p>
      <w:pPr>
        <w:spacing w:after="0" w:line="14"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9.</w:t>
      </w:r>
      <w:r>
        <w:rPr>
          <w:rFonts w:ascii="Times New Roman" w:cs="Times New Roman" w:eastAsia="Times New Roman" w:hAnsi="Times New Roman"/>
          <w:sz w:val="20"/>
          <w:szCs w:val="20"/>
          <w:color w:val="1B1B1B"/>
        </w:rPr>
        <w:tab/>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96</w:t>
      </w:r>
    </w:p>
    <w:p>
      <w:pPr>
        <w:spacing w:after="0" w:line="14"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 xml:space="preserve">Item 9A. </w:t>
      </w:r>
      <w:r>
        <w:rPr>
          <w:rFonts w:ascii="Times New Roman" w:cs="Times New Roman" w:eastAsia="Times New Roman" w:hAnsi="Times New Roman"/>
          <w:sz w:val="20"/>
          <w:szCs w:val="20"/>
          <w:color w:val="1B1B1B"/>
        </w:rPr>
        <w:t>Controls and Procedures</w:t>
      </w:r>
      <w:r>
        <w:rPr>
          <w:sz w:val="20"/>
          <w:szCs w:val="20"/>
          <w:color w:val="auto"/>
        </w:rPr>
        <w:tab/>
      </w:r>
      <w:r>
        <w:rPr>
          <w:rFonts w:ascii="Times New Roman" w:cs="Times New Roman" w:eastAsia="Times New Roman" w:hAnsi="Times New Roman"/>
          <w:sz w:val="20"/>
          <w:szCs w:val="20"/>
          <w:color w:val="auto"/>
        </w:rPr>
        <w:t>96</w:t>
      </w:r>
    </w:p>
    <w:p>
      <w:pPr>
        <w:spacing w:after="0" w:line="15"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 xml:space="preserve">Item 9B. </w:t>
      </w:r>
      <w:r>
        <w:rPr>
          <w:rFonts w:ascii="Times New Roman" w:cs="Times New Roman" w:eastAsia="Times New Roman" w:hAnsi="Times New Roman"/>
          <w:sz w:val="20"/>
          <w:szCs w:val="20"/>
          <w:color w:val="1B1B1B"/>
        </w:rPr>
        <w:t>Other Information</w:t>
      </w:r>
      <w:r>
        <w:rPr>
          <w:sz w:val="20"/>
          <w:szCs w:val="20"/>
          <w:color w:val="auto"/>
        </w:rPr>
        <w:tab/>
      </w:r>
      <w:r>
        <w:rPr>
          <w:rFonts w:ascii="Times New Roman" w:cs="Times New Roman" w:eastAsia="Times New Roman" w:hAnsi="Times New Roman"/>
          <w:sz w:val="20"/>
          <w:szCs w:val="20"/>
          <w:color w:val="auto"/>
        </w:rPr>
        <w:t>99</w:t>
      </w:r>
    </w:p>
    <w:p>
      <w:pPr>
        <w:spacing w:after="0" w:line="14"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 xml:space="preserve">Item 9C. </w:t>
      </w:r>
      <w:r>
        <w:rPr>
          <w:rFonts w:ascii="Times New Roman" w:cs="Times New Roman" w:eastAsia="Times New Roman" w:hAnsi="Times New Roman"/>
          <w:sz w:val="20"/>
          <w:szCs w:val="20"/>
          <w:color w:val="1B1B1B"/>
        </w:rPr>
        <w:t>Disclosure Regarding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B1B1B"/>
        </w:rPr>
        <w:t>Foreign Jurisdictions that Prevent Inspections.</w:t>
      </w:r>
      <w:r>
        <w:rPr>
          <w:sz w:val="20"/>
          <w:szCs w:val="20"/>
          <w:color w:val="auto"/>
        </w:rPr>
        <w:tab/>
      </w:r>
      <w:r>
        <w:rPr>
          <w:rFonts w:ascii="Times New Roman" w:cs="Times New Roman" w:eastAsia="Times New Roman" w:hAnsi="Times New Roman"/>
          <w:sz w:val="20"/>
          <w:szCs w:val="20"/>
          <w:color w:val="auto"/>
        </w:rPr>
        <w:t>99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PART III</w:t>
      </w:r>
    </w:p>
    <w:p>
      <w:pPr>
        <w:spacing w:after="0" w:line="24"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 xml:space="preserve">Item 10.  </w:t>
      </w:r>
      <w:r>
        <w:rPr>
          <w:rFonts w:ascii="Times New Roman" w:cs="Times New Roman" w:eastAsia="Times New Roman" w:hAnsi="Times New Roman"/>
          <w:sz w:val="20"/>
          <w:szCs w:val="20"/>
          <w:color w:val="1B1B1B"/>
        </w:rPr>
        <w:t>Directors, Executive Officers and Corporate Governance</w:t>
      </w:r>
      <w:r>
        <w:rPr>
          <w:sz w:val="20"/>
          <w:szCs w:val="20"/>
          <w:color w:val="auto"/>
        </w:rPr>
        <w:tab/>
      </w:r>
      <w:r>
        <w:rPr>
          <w:rFonts w:ascii="Times New Roman" w:cs="Times New Roman" w:eastAsia="Times New Roman" w:hAnsi="Times New Roman"/>
          <w:sz w:val="20"/>
          <w:szCs w:val="20"/>
          <w:color w:val="auto"/>
        </w:rPr>
        <w:t>100</w:t>
      </w:r>
    </w:p>
    <w:p>
      <w:pPr>
        <w:spacing w:after="0" w:line="14"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 xml:space="preserve">Item 11.  </w:t>
      </w:r>
      <w:r>
        <w:rPr>
          <w:rFonts w:ascii="Times New Roman" w:cs="Times New Roman" w:eastAsia="Times New Roman" w:hAnsi="Times New Roman"/>
          <w:sz w:val="20"/>
          <w:szCs w:val="20"/>
          <w:color w:val="1B1B1B"/>
        </w:rPr>
        <w:t>Executive Compensation</w:t>
      </w:r>
      <w:r>
        <w:rPr>
          <w:sz w:val="20"/>
          <w:szCs w:val="20"/>
          <w:color w:val="auto"/>
        </w:rPr>
        <w:tab/>
      </w:r>
      <w:r>
        <w:rPr>
          <w:rFonts w:ascii="Times New Roman" w:cs="Times New Roman" w:eastAsia="Times New Roman" w:hAnsi="Times New Roman"/>
          <w:sz w:val="20"/>
          <w:szCs w:val="20"/>
          <w:color w:val="auto"/>
        </w:rPr>
        <w:t>100</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xml:space="preserve">Item 12.  </w:t>
      </w:r>
      <w:r>
        <w:rPr>
          <w:rFonts w:ascii="Times New Roman" w:cs="Times New Roman" w:eastAsia="Times New Roman" w:hAnsi="Times New Roman"/>
          <w:sz w:val="20"/>
          <w:szCs w:val="20"/>
          <w:color w:val="1B1B1B"/>
        </w:rPr>
        <w:t>Security Ownership of Certain Beneficial Owners and Management and Related Stockholder</w:t>
      </w:r>
    </w:p>
    <w:p>
      <w:pPr>
        <w:ind w:left="940"/>
        <w:spacing w:after="0"/>
        <w:tabs>
          <w:tab w:leader="dot" w:pos="9020" w:val="left"/>
        </w:tabs>
        <w:rPr>
          <w:sz w:val="20"/>
          <w:szCs w:val="20"/>
          <w:color w:val="auto"/>
        </w:rPr>
      </w:pPr>
      <w:r>
        <w:rPr>
          <w:rFonts w:ascii="Times New Roman" w:cs="Times New Roman" w:eastAsia="Times New Roman" w:hAnsi="Times New Roman"/>
          <w:sz w:val="20"/>
          <w:szCs w:val="20"/>
          <w:color w:val="1B1B1B"/>
        </w:rPr>
        <w:t>Matters</w:t>
      </w:r>
      <w:r>
        <w:rPr>
          <w:sz w:val="20"/>
          <w:szCs w:val="20"/>
          <w:color w:val="auto"/>
        </w:rPr>
        <w:tab/>
      </w:r>
      <w:r>
        <w:rPr>
          <w:rFonts w:ascii="Times New Roman" w:cs="Times New Roman" w:eastAsia="Times New Roman" w:hAnsi="Times New Roman"/>
          <w:sz w:val="20"/>
          <w:szCs w:val="20"/>
          <w:color w:val="auto"/>
        </w:rPr>
        <w:t>100</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 xml:space="preserve">Item 13.  </w:t>
      </w:r>
      <w:r>
        <w:rPr>
          <w:rFonts w:ascii="Times New Roman" w:cs="Times New Roman" w:eastAsia="Times New Roman" w:hAnsi="Times New Roman"/>
          <w:sz w:val="20"/>
          <w:szCs w:val="20"/>
          <w:color w:val="1B1B1B"/>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100</w:t>
      </w:r>
    </w:p>
    <w:p>
      <w:pPr>
        <w:spacing w:after="0" w:line="14"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 xml:space="preserve">Item 14.  </w:t>
      </w:r>
      <w:r>
        <w:rPr>
          <w:rFonts w:ascii="Times New Roman" w:cs="Times New Roman" w:eastAsia="Times New Roman" w:hAnsi="Times New Roman"/>
          <w:sz w:val="20"/>
          <w:szCs w:val="20"/>
          <w:color w:val="1B1B1B"/>
        </w:rPr>
        <w:t>Principal Accountant Fees and Services</w:t>
      </w:r>
      <w:r>
        <w:rPr>
          <w:sz w:val="20"/>
          <w:szCs w:val="20"/>
          <w:color w:val="auto"/>
        </w:rPr>
        <w:tab/>
      </w:r>
      <w:r>
        <w:rPr>
          <w:rFonts w:ascii="Times New Roman" w:cs="Times New Roman" w:eastAsia="Times New Roman" w:hAnsi="Times New Roman"/>
          <w:sz w:val="20"/>
          <w:szCs w:val="20"/>
          <w:color w:val="auto"/>
        </w:rPr>
        <w:t>100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PART IV</w:t>
      </w:r>
    </w:p>
    <w:p>
      <w:pPr>
        <w:spacing w:after="0" w:line="24"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 xml:space="preserve">Item 15.  </w:t>
      </w:r>
      <w:r>
        <w:rPr>
          <w:rFonts w:ascii="Times New Roman" w:cs="Times New Roman" w:eastAsia="Times New Roman" w:hAnsi="Times New Roman"/>
          <w:sz w:val="20"/>
          <w:szCs w:val="20"/>
          <w:color w:val="1B1B1B"/>
        </w:rPr>
        <w:t>Exhibits, Financial Statement Schedules</w:t>
      </w:r>
      <w:r>
        <w:rPr>
          <w:sz w:val="20"/>
          <w:szCs w:val="20"/>
          <w:color w:val="auto"/>
        </w:rPr>
        <w:tab/>
      </w:r>
      <w:r>
        <w:rPr>
          <w:rFonts w:ascii="Times New Roman" w:cs="Times New Roman" w:eastAsia="Times New Roman" w:hAnsi="Times New Roman"/>
          <w:sz w:val="20"/>
          <w:szCs w:val="20"/>
          <w:color w:val="auto"/>
        </w:rPr>
        <w:t>101</w:t>
      </w:r>
    </w:p>
    <w:p>
      <w:pPr>
        <w:spacing w:after="0" w:line="14"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 xml:space="preserve">Item 16.  </w:t>
      </w:r>
      <w:r>
        <w:rPr>
          <w:rFonts w:ascii="Times New Roman" w:cs="Times New Roman" w:eastAsia="Times New Roman" w:hAnsi="Times New Roman"/>
          <w:sz w:val="20"/>
          <w:szCs w:val="20"/>
          <w:color w:val="1B1B1B"/>
        </w:rPr>
        <w:t>Form 10-K Summary</w:t>
      </w:r>
      <w:r>
        <w:rPr>
          <w:sz w:val="20"/>
          <w:szCs w:val="20"/>
          <w:color w:val="auto"/>
        </w:rPr>
        <w:tab/>
      </w:r>
      <w:r>
        <w:rPr>
          <w:rFonts w:ascii="Times New Roman" w:cs="Times New Roman" w:eastAsia="Times New Roman" w:hAnsi="Times New Roman"/>
          <w:sz w:val="20"/>
          <w:szCs w:val="20"/>
          <w:color w:val="auto"/>
        </w:rPr>
        <w:t>101</w:t>
      </w:r>
    </w:p>
    <w:p>
      <w:pPr>
        <w:spacing w:after="0" w:line="11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Rein and the other trademarks or service marks of Rein appearing in this Annual Report on Form 10-K are the property of Rein. All other trademarks, service marks or other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9360"/>
          </w:cols>
          <w:pgMar w:left="1440" w:top="1416" w:right="1440" w:bottom="177"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 AND INDUSTRY DATA</w:t>
      </w:r>
    </w:p>
    <w:p>
      <w:pPr>
        <w:spacing w:after="0" w:line="12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This Annual Report on Form 10-K of Rein Therapeutics, Inc. (“Rein,” “we,” “us,” “our,” or the “Company”)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These forward-looking statements include, among other things, statements about:</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plans to develop and commercialize LTI-03, including the potential benefits thereof;</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our ability to secure sufficient additional capital in the near term or implement other strategies needed to alleviate our current substantial doubt about our ability to continue as a going concern;</w:t>
      </w:r>
    </w:p>
    <w:p>
      <w:pPr>
        <w:spacing w:after="0" w:line="5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our expectations regarding our ability to fund our operating expenses, our planned activities, and capital expenditure requirements with our cash, cash equivalents and investments</w:t>
      </w:r>
    </w:p>
    <w:p>
      <w:pPr>
        <w:spacing w:after="0" w:line="5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our Phase 2 clinical trial of LTI-03 and our ability to re-start and complete such clinical trial, subject to obtaining additional funding;</w:t>
      </w:r>
    </w:p>
    <w:p>
      <w:pPr>
        <w:spacing w:after="0" w:line="58"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our decision to further delay clinical development of LTI-01 for an undetermined period of time until additional funds are raised;</w:t>
      </w:r>
    </w:p>
    <w:p>
      <w:pPr>
        <w:spacing w:after="0" w:line="5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our unproven approach to drug research and development in the area of fibrotic diseases, with a focus on Caveolin-1, or Cav1, related peptides, and our ability to develop marketable products;</w:t>
      </w:r>
    </w:p>
    <w:p>
      <w:pPr>
        <w:spacing w:after="0" w:line="5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our future clinical trials for LTI-03, whether conducted by us or by any future collaborators, including our ability to enroll patients in our clinical trials, the timing of initiation of these trials and of the anticipated results;</w:t>
      </w:r>
    </w:p>
    <w:p>
      <w:pPr>
        <w:spacing w:after="0" w:line="7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success of our remediation efforts related to the material weaknesses identified in our internal controls over financial reporting;</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timing of and our ability to obtain and maintain marketing approvals for LTI-03;</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the rate and degree of market acceptance and clinical utility of any products for which we receive marketing approval;</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commercialization, marketing and manufacturing capabilities and strategy;</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our intellectual property position and strategy, and our ability to obtain, maintain and enforce intellectual property rights for our platform and development candidates;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ability to identify additional product candidates with significant commercial potential;</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our plans to enter into collaborations for the development and commercialization of LTI-03, LTI-01 and any additional future product candidates;</w:t>
      </w:r>
    </w:p>
    <w:p>
      <w:pPr>
        <w:spacing w:after="0" w:line="5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our reliance on third-party manufacturing and supply vendors and contract research organizations, or CROs;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potential benefits of any future collaboration;</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developments relating to our competitors and our industry;</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impact of general economic conditions, including inflation and the imposition of new or revised tariffs or other trade restrictions;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impact of government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6" w:right="1440" w:bottom="177" w:gutter="0" w:footer="0" w:header="0"/>
        </w:sectPr>
      </w:pPr>
    </w:p>
    <w:bookmarkStart w:id="3" w:name="page4"/>
    <w:bookmarkEnd w:id="3"/>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our Annual Report on Form 10-K, or the Annual Report, and subsequently filed reports, particularly in the “Risk Factors” section, which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81"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You should read this Annual Report and the documents that we reference herein and have filed or incorporated by reference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69"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This Annual Report includes or incorporates by reference statistical and other industry and market data that we obtained from industry publications and research, surveys and studies conducted by third parties. Industry publications and third -party research, surveys and studies generally indicate that their information has been obtained from sources believed to be reliable, although they do not guarantee the accuracy or completeness of such information.</w:t>
      </w:r>
    </w:p>
    <w:p>
      <w:pPr>
        <w:spacing w:after="0" w:line="57"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Effective on January 10, 2025, we amended our Restated Certificate of Incorporation, as amended, to effect a change in our name from “Aileron Therapeutics, Inc.” to “Rein Therapeutics, Inc.” Unless the context otherwise requires, references in this Annual Report to “we,” “us,” “our” and the “Company” refer to Rein Therapeutics, Inc. and its wholly 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18" w:right="1440" w:bottom="177"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35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Our business is subject to a number of risks of which you should be aware in evaluating our company and our business. These risks are discussed more fully in the “Risk Factors” section of this Annual Report. These risks include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w:t>
      </w:r>
    </w:p>
    <w:p>
      <w:pPr>
        <w:spacing w:after="0" w:line="137" w:lineRule="exact"/>
        <w:rPr>
          <w:sz w:val="20"/>
          <w:szCs w:val="20"/>
          <w:color w:val="auto"/>
        </w:rPr>
      </w:pPr>
    </w:p>
    <w:p>
      <w:pPr>
        <w:ind w:left="980"/>
        <w:spacing w:after="0" w:line="247" w:lineRule="auto"/>
        <w:rPr>
          <w:sz w:val="20"/>
          <w:szCs w:val="20"/>
          <w:color w:val="auto"/>
        </w:rPr>
      </w:pPr>
      <w:r>
        <w:rPr>
          <w:rFonts w:ascii="Times New Roman" w:cs="Times New Roman" w:eastAsia="Times New Roman" w:hAnsi="Times New Roman"/>
          <w:sz w:val="20"/>
          <w:szCs w:val="20"/>
          <w:color w:val="auto"/>
        </w:rPr>
        <w:t>We believe that our existing cash and cash equivalents as of December 31, 2025, together with the proceeds received by us pursuant to the securities purchase agreements we entered into in January 2026 and February 2026, will be sufficient to enable us to fund our planned operating expense and capital expenditure requirements into the second quarter of 2026, as a result we will need to obtain sufficient additional funding in order to sustain our current level of operations and complete our Phase 2 RENEW clinical trial of LTI-03.</w:t>
      </w:r>
    </w:p>
    <w:p>
      <w:pPr>
        <w:spacing w:after="0" w:line="93" w:lineRule="exact"/>
        <w:rPr>
          <w:sz w:val="20"/>
          <w:szCs w:val="20"/>
          <w:color w:val="auto"/>
        </w:rPr>
      </w:pPr>
    </w:p>
    <w:p>
      <w:pPr>
        <w:ind w:left="980"/>
        <w:spacing w:after="0" w:line="248" w:lineRule="auto"/>
        <w:rPr>
          <w:sz w:val="20"/>
          <w:szCs w:val="20"/>
          <w:color w:val="auto"/>
        </w:rPr>
      </w:pPr>
      <w:r>
        <w:rPr>
          <w:rFonts w:ascii="Times New Roman" w:cs="Times New Roman" w:eastAsia="Times New Roman" w:hAnsi="Times New Roman"/>
          <w:sz w:val="20"/>
          <w:szCs w:val="20"/>
          <w:color w:val="auto"/>
        </w:rPr>
        <w:t>We will require substantial additional capital to finance our operations beyond the second quarter of 2026 and to complete the development and commercialization of our product candidates. Due to our current liquidity constraints, we have paused development of LTI-01 and other preclinical programs for an undetermined period and are prioritizing LTI-03. If we are unable to raise such capital when needed, or on acceptable terms, we may be forced to delay our clinical and research and development program, future commercialization efforts or other operations.</w:t>
      </w:r>
    </w:p>
    <w:p>
      <w:pPr>
        <w:spacing w:after="0" w:line="88"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financial statements or cause us to fail to meet our periodic reporting obligations.</w:t>
      </w:r>
    </w:p>
    <w:p>
      <w:pPr>
        <w:spacing w:after="0" w:line="85"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We have incurred significant net losses since inception and we expect to continue to incur significant net losses for the foreseeable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Development and Commercialization of Product Candidates</w:t>
      </w:r>
    </w:p>
    <w:p>
      <w:pPr>
        <w:spacing w:after="0" w:line="137"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Our business is highly dependent on the success of our product candidate, LTI-03, which is now screening and recruiting patients in a Phase 2 clinical trial that initiated in May 2025.</w:t>
      </w:r>
    </w:p>
    <w:p>
      <w:pPr>
        <w:spacing w:after="0" w:line="5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Our approach to drug research and development in the area of fibrotic diseases, with a focus on Cav1-related peptides, is unproven and may not result in marketable products.</w:t>
      </w:r>
    </w:p>
    <w:p>
      <w:pPr>
        <w:spacing w:after="0" w:line="57"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The outcome of preclinical testing and early clinical trials may not be predictive of the success of later clinical trials, interim results of a clinical trial, do not necessarily predict final results and the results of our clinical trials may not satisfy the requirements of the U.S. Food and Drug Administration, or the FDA, or comparable foreign regulatory authorities.</w:t>
      </w:r>
    </w:p>
    <w:p>
      <w:pPr>
        <w:spacing w:after="0" w:line="85"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We may incur additional costs or experience delays in completing, or ultimately be unable to complete, the development and commercialization of LTI-03.</w:t>
      </w:r>
    </w:p>
    <w:p>
      <w:pPr>
        <w:spacing w:after="0" w:line="5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Our future clinical trials may reveal significant adverse events or unexpected drug-drug interactions not seen in our preclinical studies or earlier clinical studies and may result in a safety profile that could delay or prevent regulatory approval or market acceptance of any of our product candidates.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Clinical development involves a lengthy, complex and expensive process, with an uncertain outcome.</w:t>
      </w:r>
    </w:p>
    <w:p>
      <w:pPr>
        <w:spacing w:after="0" w:line="134"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We have never obtained marketing approval for a product candidate and we may be unable to obtain, or may be delayed in obtaining, marketing approval for any product candidate. If we are unable to establish marketing and sales capabilities or enter into agreements with third parties to market and sell our products, we may not be able to generate product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15" w:right="1440" w:bottom="177"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136"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We rely on third parties to conduct certain aspects of our clinical trials and preclinical studies.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85"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36"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Our success depends in part on our ability to protect our intellectual property. It is difficult and costly to protect our proprietary rights and technology, and we may not be able to ensure their protection.</w:t>
      </w:r>
    </w:p>
    <w:p>
      <w:pPr>
        <w:spacing w:after="0" w:line="58"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We are currently party to license or other collaboration agreements that impose certain obligations on us, and we may enter into additional license or collaboration agreements in the future. If we fail to comply with our obligations under such present or future agreements with third parties, we could lose license rights that may be important to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37" w:lineRule="exact"/>
        <w:rPr>
          <w:sz w:val="20"/>
          <w:szCs w:val="20"/>
          <w:color w:val="auto"/>
        </w:rPr>
      </w:pPr>
    </w:p>
    <w:p>
      <w:pPr>
        <w:jc w:val="right"/>
        <w:ind w:left="980"/>
        <w:spacing w:after="0" w:line="266" w:lineRule="auto"/>
        <w:rPr>
          <w:sz w:val="20"/>
          <w:szCs w:val="20"/>
          <w:color w:val="auto"/>
        </w:rPr>
      </w:pPr>
      <w:r>
        <w:rPr>
          <w:rFonts w:ascii="Times New Roman" w:cs="Times New Roman" w:eastAsia="Times New Roman" w:hAnsi="Times New Roman"/>
          <w:sz w:val="19"/>
          <w:szCs w:val="19"/>
          <w:color w:val="auto"/>
        </w:rPr>
        <w:t>Assuming the conversion of all outstanding Series X Non-Voting Convertible Preferred Stock, or the Series X Preferred Stock, and the exercise of outstanding warrants to purchase shares of our common stock, or the Warrants, there is a concentration of ownership of our outstanding common stock by entities and individuals affiliated with Bios Partners. If this group chooses to act together, it could exert substantial influence over our business, and the interests of this group may conflict with those of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16" w:right="1440" w:bottom="177"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and Recent Developments</w:t>
      </w:r>
    </w:p>
    <w:p>
      <w:pPr>
        <w:spacing w:after="0" w:line="122"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We are a clinical stage biopharmaceutical company focused on developing novel therapies for the treatment of orphan pulmonary and fibrosis indications with no approved or limited effective treatments. We currently have two product candidates in clinical development, LTI-03 and LTI-01, however, due to insufficient funding we have paused development of LTI-01 for an undetermined period of time and are prioritizing LTI-03. Our pipeline includes:</w:t>
      </w:r>
    </w:p>
    <w:p>
      <w:pPr>
        <w:spacing w:after="0" w:line="70"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LTI-03, a peptide, for which we conducted a Phase 1b dose-ranging, placebo-controlled safety, tolerability, and pharmacodynamic biomarker activity trial in development for the treatment of Idiopathic Pulmonary Fibrosis, or IPF, that has demonstrated the ability to protect healthy lung epithelial cells and reduce pro-fibrotic signaling;</w:t>
      </w:r>
    </w:p>
    <w:p>
      <w:pPr>
        <w:spacing w:after="0" w:line="85"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LTI-01, a proenzyme that completed a Phase 2a dose-ranging, placebo-controlled trial and a Phase 1b safety, tolerability and proof of mechanism trial in loculated pleural effusion, or LPE, patients, an indication that has no approved drug treatment; and</w:t>
      </w:r>
    </w:p>
    <w:p>
      <w:pPr>
        <w:spacing w:after="0" w:line="7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preclinical programs targeting cystic fibrosis and a peptide program focused on the Cav1 protein for systemic fibrosis indications.</w:t>
      </w:r>
    </w:p>
    <w:p>
      <w:pPr>
        <w:spacing w:after="0" w:line="4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In June 2024, we decided to temporarily delay clinical development of LTI-01 in an effort to focus our resources on clinical development of LTI-03 and until additional funds are raised. In the fourth quarter of 2024, we determined that the temporary delay of further clinical development of LTI-01 may not be a short-term measure. In the fourth quarter of 2025, we decided to pause development activities related to LTI-01 and preclinical programs targeting cystic fibrosis and a peptide program focused on the Cav1 protein for an indefinite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Product Candidates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LTI-03</w:t>
      </w:r>
    </w:p>
    <w:p>
      <w:pPr>
        <w:spacing w:after="0" w:line="117"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LTI-03 is a novel peptide drug, the sequence of which is derived from the endogenous protein Cav1, that protects lung epithelial cells and inhibits multiple pro-fibrotic pathways in IPF patients. IPF is a progressive, fatal, age-associated lung disease with a median survival from diagnosis of three to five years. There are approximately 100,000 people living with IPF in the U.S. LTI-03 has been granted Orphan Drug Designation in the U.S. and European Union, or EU, for the treatment of IPF.</w:t>
      </w:r>
    </w:p>
    <w:p>
      <w:pPr>
        <w:spacing w:after="0" w:line="73" w:lineRule="exact"/>
        <w:rPr>
          <w:sz w:val="20"/>
          <w:szCs w:val="20"/>
          <w:color w:val="auto"/>
        </w:rPr>
      </w:pPr>
    </w:p>
    <w:p>
      <w:pPr>
        <w:jc w:val="both"/>
        <w:ind w:firstLine="490"/>
        <w:spacing w:after="0" w:line="238" w:lineRule="auto"/>
        <w:rPr>
          <w:sz w:val="20"/>
          <w:szCs w:val="20"/>
          <w:color w:val="auto"/>
        </w:rPr>
      </w:pPr>
      <w:r>
        <w:rPr>
          <w:rFonts w:ascii="Times New Roman" w:cs="Times New Roman" w:eastAsia="Times New Roman" w:hAnsi="Times New Roman"/>
          <w:sz w:val="20"/>
          <w:szCs w:val="20"/>
          <w:color w:val="auto"/>
        </w:rPr>
        <w:t>The pathogenesis of IPF is characterized by the loss of healthy lung cells known as alveolar epithelial type 2 cells, or AEC2s, proliferation and accumulation of activated myofibroblasts, deposition of extracellular matrix, or ECM, and fibrosis, resulting in labored breathing and loss of lung function. Damaged AEC2s are unable to replace injured alveolar epithelial type 1 cells, or AEC1s, which make up the majority of the alveolar surface and are important in mucus clearance and healthy lung function. Other than lung transplantation, no treatment has shown survival benefit. Three approved drugs, Nerandomilast (Jascayd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nintedanib (OFEV</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pirfenidone, have been shown to reduce the rate of lung function decline, but unfortunately provide only modest clinical benefit in IPF patients. No drug is curative, and significant side effects or intolerance can occur with the use of these therapies. As these approved drugs are focused on fibroblast proliferation, they have not demonstrated an effect on protecting or restoring healthy lung epithelial cells. We believe LTI-03 has a mechanism that not only reduces fibroblast proliferation but also, importantly, protects and potentially restores healthy lung epithelial cells.</w:t>
      </w:r>
    </w:p>
    <w:p>
      <w:pPr>
        <w:spacing w:after="0" w:line="8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Cav1 normally serves a critical function in the prevention of fibrosis by maintaining a balance between pathways that both initiate and arrest lung repair and cell movement. Studies conducted by third parties have shown decreased levels of Cav1 in patients with IPF and the development of fibrosis in Cav1 knock-out models of fibrosis. Furthermore, we have conducted in vitro and animal model tests with LTI-03 in which we have observed a reduction in numerous pro-fibrotic signaling proteins. In analyzing fibrotic activity in a sample precision cut lung slice, or PCLS, tissue from an end stage IPF lung, LTI-03 demonstrated a broad anti-fibrotic activity similar to that of nintedanib in a single patient sample and composite of six patient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16" w:right="1440" w:bottom="177" w:gutter="0" w:footer="0" w:header="0"/>
        </w:sectPr>
      </w:pPr>
    </w:p>
    <w:bookmarkStart w:id="7" w:name="page8"/>
    <w:bookmarkEnd w:id="7"/>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In additional PCLS testing of end stage IPF lungs with LTI-03, we observed increased viable AEC2s that are important for epithelial regeneration and proper lung function. We believe that this protection of AEC2s has the potential to improve IPF patients’ underlying disease.</w:t>
      </w:r>
    </w:p>
    <w:p>
      <w:pPr>
        <w:spacing w:after="0" w:line="65"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soluble Receptor of Advanced Glycation End-products, or sRAGE, is a prognostic marker of IPF disease progression and is produced by AEC1s. Low levels of sRAGE at diagnosis predict poor survival in IPF and as IPF patients’ disease worsens, sRAGE declines. In further testing of PCLS tissue, LTI-03 administration demonstrated an increase in sRAGE versus untreated control samples. We believe the increase in sRAGE provides further evidence of increased AEC2 survival, possibly leading to greater AEC1 production and thus overall epithelial cell survival, and therefore the elevation of sRAGE levels after administration of LTI-03 in the PCLS model may indicate a beneficial impact of LTI-03 in treating IPF patients.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Phase 1a Clinical Trial</w:t>
      </w:r>
    </w:p>
    <w:p>
      <w:pPr>
        <w:spacing w:after="0" w:line="11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completed a randomized, double-blind, placebo-controlled, Phase 1a clinical trial of LTI -03 in healthy volunteers in the United Kingdom, or the UK. The primary objective of this trial was to determine the safety and tolerability of single and multiple ascending doses, SAD and MAD, respectively, of inhaled LTI-03. The secondary objective was to evaluate the pharmacokinetics of SAD and MAD daily doses for 14 days of inhaled LTI-03.</w:t>
      </w:r>
    </w:p>
    <w:p>
      <w:pPr>
        <w:spacing w:after="0" w:line="69"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In four SAD cohorts, 32 subjects were administered LTI-03 by inhalation at single doses of 20 mg, 40 mg, and 80 mg. At the 80 mg dose, subjects in one cohort were administered four 20 mg capsules by inhalation and in a second cohort, subjects were administered eight 10 mg capsules by inhalation. Eight subjects in the combined SAD cohorts were administered a placebo. In the SAD cohorts, 21 of 24 subjects administered LTI-03 experienced treatment emergent adverse events, or TEAE, the most frequent of which were mild dry coughs related to LTI-03.</w:t>
      </w:r>
    </w:p>
    <w:p>
      <w:pPr>
        <w:spacing w:after="0" w:line="73"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two MAD cohorts, 40 subjects were administered LTI-03 by inhalation once daily for up to 14 days at 20 mg and 40 mg. Mild coughs, assessed as related to LTI-03, were the most frequent TEAEs occurring in 12 of 12 subjects over the course of the 14-day dosing period. Mild and related coughs occurred in three of the four subjects administered placebo. Other TEAEs occurring in more than one of the 12 subjects administered LTI-03 included sinus tachycardia, which is a fast increase in heart rate, in two subjects assessed as mild and not related in one and moderate and related in the other; chest discomfort in two subjects assessed as related and moderate in one and related and severe in the other; and labored breathing in two subjects assessed as related and moderate in one and related and severe in the other. During dosing in the second MAD cohort of 40 mg of LTI-03, we placed the study on hold after one subject developed severe TEAEs and two other subjects developed moderate TEAEs secondary to pulmonary airflow limitations that appeared to be secondary to reversible airway obstruction. These events were considered related to LTI-03. All TEAEs were resolved within 24 hours.</w:t>
      </w:r>
    </w:p>
    <w:p>
      <w:pPr>
        <w:spacing w:after="0" w:line="8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Adverse findings in the MAD 40 mg cohort, and a re-evaluation of the dose rationale based on further analysis of in vitro and in vivo data, suggest that lower doses should be efficacious with an improved safety profile. The 20 mg and 40 mg doses evaluated are predicted to be 21- to 39-fold in excess of a minimally efficacious dose. Based upon these MAD observations, three additional MAD cohorts of 2.5 mg administered once daily, 5 mg (two 2.5 mg capsules), and 10 mg (two 2.5 mg capsules dosed twice daily) were administered to 17 subjects for 14 days. In these lower dose cohorts, the most common TEAEs related to LTI-03 were mild coughs in 41% of subjects. The only other TEAEs occurring in more than one subject was mild throat irritation in two subjects that were assessed as related to LTI-03. The were no moderate, severe, or serious TEAEs assessed as related to LTI-03.</w:t>
      </w:r>
    </w:p>
    <w:p>
      <w:pPr>
        <w:spacing w:after="0" w:line="81"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Upon review of pooled plasma samples from patients in all Phase 1a cohorts up to 20 mg, there was an increase in sRAGE from day 13 treatment compared to pre-treatment for patients who received LTI-03 compared to patients who received placebo.</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Phase 1b Clinical Trial</w:t>
      </w:r>
    </w:p>
    <w:p>
      <w:pPr>
        <w:spacing w:after="0" w:line="118"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We conducted a randomized, double-blind, placebo-controlled, Phase 1b clinical trial of LTI-03 in IPF patients, which was conducted at 11 centers in the U.S., the UK, Belgium, Germany and Australia. We enrolled a total of 24 patients in the trial. In the trial, these patients had a bronchoscopy at a baseline screening followed by either LTI-03 or placebo twice a day for 14 days. On day 14, shortly after the final dose, patients received a second bronchoscopy and were monitored thereafter for seven days. In Cohort 1, patients in the active arm inhaled a single 2.5 mg capsule of LTI-03 twice daily. In Cohort 2, patients received two 2.5 mg capsules of LTI-03 for inhalation twice daily. Of the 12 patients enrolled in Cohort 1 of the trial, three were randomized to the placebo arm and nine to the active arm.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18" w:right="1440" w:bottom="177" w:gutter="0" w:footer="0" w:header="0"/>
        </w:sectPr>
      </w:pPr>
    </w:p>
    <w:bookmarkStart w:id="8" w:name="page9"/>
    <w:bookmarkEnd w:id="8"/>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Of the 12 patients enrolled in Cohort 1 of the trial, three were randomized to the placebo arm and nine to the active arm. In addition to the safety and tolerability of LTI-03, in the trial, various biomarkers relating to epithelial damage, fibrosis and inflammation in blood cells were assessed. The eight biomarkers that we evaluated in Cohort 1 included: thymic stromal lymphopoietin (TSLP), galectin-7 (GAL-7), interleukin-11 (IL-11), collagen 1 alpha chain (Col-1α1), phosphorylated SMAD2/3 (pSMAD2/3/tSMAD2/3), phosphorylated AKT kinase (pAKT), soluble (sol) receptor for advanced glycation end-products (solRAGE), and CXC chemokine 7 (CXCL7). The eight biomarkers that we evaluated in Cohort 2 included: TSLP, GAL-7, IL-11, Col-1α1, pSMAD2/3/tSMAD2/3, pAKT, CXCL7, and surfactant protein D (SPD). SolRAGE, which was evaluated in Cohort 1, was not able to be evaluated in Cohort 2 due to multiple protocol violations.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May 2024, we announced positive data from the low-dose Cohort 1 of the Phase 1b clinical trial.</w:t>
      </w:r>
    </w:p>
    <w:p>
      <w:pPr>
        <w:spacing w:after="0" w:line="119"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In Cohort 1, a positive trend was observed in seven out of the eight biomarkers with data from three biomarkers being statistically significant (based on a one-tailed t-test). The findings from Cohort 1 included:</w:t>
      </w:r>
    </w:p>
    <w:p>
      <w:pPr>
        <w:spacing w:after="0" w:line="57"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LTI-03 reduced expression of multiple profibrotic proteins in both pathologic basal-like cells and fibroblasts, with statistically significant decreases observed in three biomarkers - GAL-7 (p=0.0014, SEM 0.901), TSLP (p=0.0223, SEM 5.163) and Col-1α1 (p=0.0489, SEM 0.7102) - supporting the potential of LTI-03 to reduce fibrosis, inflammation and associated changes in the lung.</w:t>
      </w:r>
    </w:p>
    <w:p>
      <w:pPr>
        <w:spacing w:after="0" w:line="85"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LTI-03 stimulated production of solRAGE (p=0.1407, SEM 0.3269), a factor indicative of type I epithelial cell health that is a critically important aspect of IPF and has gone largely unaddressed.</w:t>
      </w:r>
    </w:p>
    <w:p>
      <w:pPr>
        <w:spacing w:after="0" w:line="5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LTI-03 did not induce inflammation in peripheral blood mononuclear cells as measured by pAKT (p=0.358, SEM 11.32).</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LTI-03 was generally well-tolerated with no serious adverse events reported.</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November 2024, we announced positive topline data from the high-dose Cohort 2 of the Phase 1b clinical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trial.</w:t>
      </w:r>
    </w:p>
    <w:p>
      <w:pPr>
        <w:spacing w:after="0" w:line="111"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Cohort 2, a positive trend was observed in seven out of the eight biomarkers, with data from three biomarkers that were statistically significant in Cohort 2, and from four biomarkers that were statistically significant in the combined data set of Cohort 1 and Cohort 2, and data from five biomarkers that showed dose dependence relative to the data from those biomarkers in Cohort 1. The findings from Cohort 2 included:</w:t>
      </w:r>
    </w:p>
    <w:p>
      <w:pPr>
        <w:spacing w:after="0" w:line="85"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LTI-03 reduced expression of multiple profibrotic proteins active in both pathologic basal-like cells and fibroblasts, with four biomarkers (IL-11, CXCL7, TSLP and GAL-7) showing statistically significant decreases in the combined data set supporting the potential of LTI-03 to reduce fibrosis, inflammation and associated functional changes in the lung.</w:t>
      </w:r>
    </w:p>
    <w:p>
      <w:pPr>
        <w:spacing w:after="0" w:line="85"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LTI-03 dose dependent trends were observed in five biomarkers, including COL1A1, CXCL7, TSLP, GAL-7, and SPD, which provide evidence of active LTI-03 pharmacodynamics in the trial.</w:t>
      </w:r>
    </w:p>
    <w:p>
      <w:pPr>
        <w:spacing w:after="0" w:line="59" w:lineRule="exact"/>
        <w:rPr>
          <w:sz w:val="20"/>
          <w:szCs w:val="20"/>
          <w:color w:val="auto"/>
        </w:rPr>
      </w:pPr>
    </w:p>
    <w:p>
      <w:pPr>
        <w:ind w:left="980"/>
        <w:spacing w:after="0" w:line="246" w:lineRule="auto"/>
        <w:rPr>
          <w:sz w:val="20"/>
          <w:szCs w:val="20"/>
          <w:color w:val="auto"/>
        </w:rPr>
      </w:pPr>
      <w:r>
        <w:rPr>
          <w:rFonts w:ascii="Times New Roman" w:cs="Times New Roman" w:eastAsia="Times New Roman" w:hAnsi="Times New Roman"/>
          <w:sz w:val="20"/>
          <w:szCs w:val="20"/>
          <w:color w:val="auto"/>
        </w:rPr>
        <w:t>SPD, an indicator of epithelial cell health that is linked to decline in lung function, decreased by 5% in Cohort 2 at 14 days of treatment. The current standard of care for IPF, nintedanib, reduced SPD by 4% at 12-weeks in a third party trial of nintedanib referred to as the INMARK trial. The biomarker regarding change in SPD in our Phase 1b trial and the data from the INMARK trial of nintedanib compares two clinical trials with different trial designs, patient enrollment criteria and treatment regimens. In addition, the applicable measurements were observed over different time periods. As a result, the data from these trials may not be directly comparable.</w:t>
      </w:r>
    </w:p>
    <w:p>
      <w:pPr>
        <w:spacing w:after="0" w:line="9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LTI-03 did not induce inflammation in peripheral blood mononuclear cells in either Cohort, measured by pAKT, a safety marker for inflammation in this trial.</w:t>
      </w:r>
    </w:p>
    <w:p>
      <w:pPr>
        <w:spacing w:after="0" w:line="58"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LTI-03 was generally well-tolerated, and there were no drug-related adverse events that resulted in a discontinuation of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18" w:right="1440" w:bottom="177" w:gutter="0" w:footer="0" w:header="0"/>
        </w:sectPr>
      </w:pPr>
    </w:p>
    <w:bookmarkStart w:id="9" w:name="page10"/>
    <w:bookmarkEnd w:id="9"/>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Phase 2 Clinical Trial</w:t>
      </w:r>
    </w:p>
    <w:p>
      <w:pPr>
        <w:spacing w:after="0" w:line="15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May 2025, we initiated screening and recruitment of patients in the RENEW Phase 2 clinical trial of LTI-03. The RENEW trial is a Phase 2 multi-center, randomized, double-blind, placebo-controlled study evaluating the safety, tolerability, and efficacy of LTI-03 patients with IPF. In addition, the trial is designed to assess the activity of inhaled dry powder LTI-03 across multiple biomarkers and to measure lung function, lung imaging markers of fibrosis, and the potential for healthy tissue regeneration. The trial is designed to enroll approximately 120 patients diagnosed with IPF within 5 years of screening, who may be receiving standard of care antifibrotic therapy, across up to 50 sites globally, including sites in the U.S., UK, Germany, Australia and Poland. Patients will be randomized into two blinded placebo-controlled cohorts that will run concurrently. Patients in the low dose cohort will receive 2.5 mg of either LTI-03 or placebo administered twice daily, or BID, for a total dose of 5 mg/day, while participants in the high dose cohort will receive 5 mg BID for a total dose of 10 mg/day. The primary endpoint is the incidence of treatment-emergent adverse events from Day 1 through Week 24. The key secondary endpoint is the efficacy of LTI-03 measured through forced vital capacity, percent predicted FVC and high-resolution computer tomography, in collaboration with Qureight Ltd. Patients will undergo a 28-day screening period prior to being randomized and entering the 24-week treatment period, with a four-week follow-up.</w:t>
      </w:r>
    </w:p>
    <w:p>
      <w:pPr>
        <w:spacing w:after="0" w:line="8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October 2025, we received authorization from the European Medicines Agency, or the EMA, to initiate our Phase 2 RENEW trial of our lead candidate, LTI-03, for the treatment of IPF at sites in Germany and Poland. We had previously received regulatory clearance from the UK’s Medicines and Healthcare products Regulatory Agency, or the MHRA. In January 2026, we received orphan drug designation from the EMA for LTI-03.</w:t>
      </w:r>
    </w:p>
    <w:p>
      <w:pPr>
        <w:spacing w:after="0" w:line="6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As of the date of this Annual Report, we activated sites and are enrolling patients in the U.S. and are seeking to activate additional sites, enroll patients and initiate the RENEW trial throughout the U.S., UK, Europe and other jurisdictions. In March 2026, we dosed our first patient in the RENEW Phase 2 clinical trial of LTI-03. We expect to report initial interim topline data on some proportion of patients in the fourth quarter of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LTI-01</w:t>
      </w:r>
    </w:p>
    <w:p>
      <w:pPr>
        <w:spacing w:after="0" w:line="11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LTI-01 is a single chain urokinase plasminogen activator, or scuPA, for the treatment of LPE. Pleural effusion is defined by the build-up of fluid in the pleural cavity, predominantly resulting from pneumonia, and is considered loculated when fibrinous scar tissue forms, trapping the fluid and preventing drainage. LPE is an orphan disorder for which there are no currently approved therapeutics. LPEs are a frequent complication of pneumonia and develop from pockets of infected fluid, known as a complicated parapneumonic effusion, or CPE, or if pus is present, known as an empyema. LPEs can result in pain, shortness of breath and can rapidly lead to sepsis and death. CPE and empyema can be serious clinical problems which are associated with mortality of approximately 20%. Effective drainage of infected pleural effusions is essential for treatment. We believe over 60,000 cases of LPE associated with CPE and empyema are estimated to occur annually in the U.S. alone, and based upon our market research, over half of these patients are receiving off-label, intrapleural fibrinolytic therapy, or IPFT, which is the use of clot busting drugs injected locally into the pleural cavity to treat the LPEs. LTI-01 has been granted Orphan Drug Designation in the U.S. and EU for treatment of empyema and Fast Track Designation in the U.S. for the investigation of LTI-01 for the treatment of infected, non-draining pleural effusion. In November 2020, we signed a regional licensing deal with Taiho for the rights to develop and commercialize LTI-01 in Japan. We received an up-front payment of $5.0 million and have the right to receive a future milestone payment of $10.0 million, drug supply payments and royalties on drug sales upon approval and commercial launch in Japan.</w:t>
      </w:r>
    </w:p>
    <w:p>
      <w:pPr>
        <w:spacing w:after="0" w:line="8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9"/>
          <w:szCs w:val="19"/>
          <w:color w:val="auto"/>
        </w:rPr>
        <w:t>Currently, there are no approved drug treatments for LPE. Given the risks of surgery and extensive days of hospitalization post-surgery, IPFT has been used off-label in patients with LPE to promote pleural drainage. Despite limited research of IPFT, tissue plasminogen activator, or tPA, in combination with recombinant deoxyribonuclease, or DNase, has become the off-label standard of care for treating LPEs in many institutions. Similar to off label IPFT, LTI-01 works locally in the pleural space by breaking down the fibrinous scar tissue and allowing the trapped fluid to drain. We believe there are advantages possessed by LTI-01 over other fibrinolytics which arise from the resistance of LTI-01 to a protein which is the major inhibitor of fibrinolytic activity, Plasminogen Activator Inhibitor-1, or PAI-</w:t>
      </w:r>
    </w:p>
    <w:p>
      <w:pPr>
        <w:spacing w:after="0" w:line="6" w:lineRule="exact"/>
        <w:rPr>
          <w:sz w:val="20"/>
          <w:szCs w:val="20"/>
          <w:color w:val="auto"/>
        </w:rPr>
      </w:pPr>
    </w:p>
    <w:p>
      <w:pPr>
        <w:jc w:val="both"/>
        <w:spacing w:after="0" w:line="247" w:lineRule="auto"/>
        <w:tabs>
          <w:tab w:leader="none" w:pos="23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PAI-1 has been shown to suppress fibrinolytics like tPA by binding to them and inhibiting activity. LTI-01, however, has demonstrated relative resistance to PAI-1 inhibition. Animal model studies, conducted by third parties, of PAI-1 inhibition showed LTI-01 to be active 24 hours post administration, while tPA was shown to be inactivated in as little as 40 minutes. We believe that this provides for a longer duration of activity, eliminates the need for repeated daily dosing, and could confer a lower risk of bleeding.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20" w:right="1440" w:bottom="177" w:gutter="0" w:footer="0" w:header="0"/>
        </w:sectPr>
      </w:pPr>
    </w:p>
    <w:bookmarkStart w:id="10" w:name="page11"/>
    <w:bookmarkEnd w:id="10"/>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Based upon our Phase 2a and Phase 1b data and historical treatment data of LPE patients receiving off-label tPA with DNase in the U.S., we believe LTI-01 may be more beneficial to patients when compared to tPA with DNase in the treatment of LPE on dosing schedule, surgical referrals and safety profile. Furthermore, third party market research with physician interviews performed by MME, a wholly-owned subsidiary of Indegene, Inc., suggests LTI-01 could potentially replace the use of tPA with DNase for LPE patients.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Phase 2a Clinical Trial</w:t>
      </w:r>
    </w:p>
    <w:p>
      <w:pPr>
        <w:spacing w:after="0" w:line="11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We completed a randomized, double-blind, placebo-controlled, Phase 2a clinical trial that was conducted at 36 centers in the U.S. to evaluate LTI-01 in patients with infected, non-draining pleural effusions. The primary endpoint in the trial was treatment failure, defined as death or referral to surgery by checklist within seven days from commencement of dosing. Secondary endpoints included length of hospital stay, incidence of bleeding and pain and volume of pleural fluid drainage. The trial evaluated 3 doses of LTI-01, 400,000, 800,000 or 1.2 million units compared to placebo in a three to one active to placebo randomization. Due to trial delays related to the COVID-19 pandemic and limited shelf life of drug product, only 40 patients completed enrollment in the trial. There was not a statistically significant difference in the primary endpoint of treatment failure between treatment arms and the placebo arm. We believe this lack of significance was due to referral to surgery checklist limitations which allowed patients, including those on placebo, to be deemed a successful treatment while also receiving rescue treatment, defined as either surgery, off label IPFT or other intervention. Based upon a patient’s need for a rescue treatment, either surgery, off label IPFT or other intervention, 60.0% and 55.5% of patients in the 400,000 and 800,000 dosing arms, respectively, did not require rescue treatment to resolve their LPE. However, 27.3% of patients in the placebo dosing group did not require a rescue treatment to resolve their LPE. Moreover, the 400,000 and 800,000 dosing arms showed a meaningful reduction in volume of pleural fluid drainage, a secondary endpoint. LTI-01 was well tolerated with no safety signals of concern.</w:t>
      </w:r>
    </w:p>
    <w:p>
      <w:pPr>
        <w:spacing w:after="0" w:line="8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Based on the results of this trial, we plan to investigate LTI-01 in an additional Phase 2 dose-ranging, placebo-controlled clinical trial with a lower dose to establish efficacy and safety. In June 2024, we decided to temporarily delay clinical development of LTI-01 in an effort to focus our resources on clinical development of LTI-03 and until sufficient additional funds are raised. In the fourth quarter of 2024, we determined that the temporary delay of further clinical development of LTI-01 may not be a short-term measure. In the fourth quarter of 2025, as a result of our current capital limitations, we have suspended development activities for LTI-01 for an indefinite period and are allocating our limited resources to LTI-03 development.</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Phase 1b Clinical Trial</w:t>
      </w:r>
    </w:p>
    <w:p>
      <w:pPr>
        <w:spacing w:after="0" w:line="117"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We completed a first-in-human, open-label, dose escalation Phase 1b safety, tolerability and proof of mechanism trial of LTI-01 in 14 LPE patients presenting with pneumonia and CPE or empyema. The Phase 1b clinical trial was conducted at seven clinical centers in Australia and New Zealand. LTI-01 was administered intrapleurally once per day for up to three consecutive days at doses ranging from 50,000 units to 800,000 units. At the doses tested, LTI-01 was well tolerated and there were no safety signals of concern. Moreover, no local or systemic bleeding was observed. All adverse events observed were considered unrelated to the study drug.</w:t>
      </w:r>
    </w:p>
    <w:p>
      <w:pPr>
        <w:spacing w:after="0" w:line="8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LTI-01 showed preliminary signs of efficacy, with reductions in pleural opacity and declines in pleural infection indicators. Preliminary efficacy findings included signs of successful treatment of the underlying infectious process with decreased C-reactive protein, or CRP, levels and total leukocyte and neutrophil counts, drainage of the infected pleural fluid and decreases in pleural opacity. These results suggest that LTI-01 clears scar tissue with once-a-day dosing for three days and promotes fluid drainage around the lungs without bleeding and other side effects.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Preclinical Programs</w:t>
      </w:r>
    </w:p>
    <w:p>
      <w:pPr>
        <w:spacing w:after="0" w:line="122"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We have multiple programs in preclinical development. We are developing LTI-05, an epithelial sodium channel, or ENaC, inhibitor, in lead optimization for the treatment of cystic fibrosis, or CF, that has demonstrated sodium channel inhibition and localized activity in preclinical studies. In addition, we are developing a systemic formulation of a proprietary Cav1-related peptide to be utilized for patients where a systemic delivery would be ideal. Cav1, from which LTI-03 is derived, has been widely studied for its role in the regulation of cell signaling and endocytosis and, we believe, restores balance by regulating aberrant cell signaling. Cav1 has been demonstrated to be deficient in multiple fibrotic organs in preclinical models. Independent preclinical research and our preclinical research have demonstrated the potential of a Cav1-related peptide to treat fibrosis in a number of organs, including kidney,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18" w:right="1440" w:bottom="177" w:gutter="0" w:footer="0" w:header="0"/>
        </w:sectPr>
      </w:pPr>
    </w:p>
    <w:bookmarkStart w:id="11" w:name="page12"/>
    <w:bookmarkEnd w:id="11"/>
    <w:p>
      <w:pPr>
        <w:jc w:val="both"/>
        <w:spacing w:after="0" w:line="259" w:lineRule="auto"/>
        <w:rPr>
          <w:sz w:val="20"/>
          <w:szCs w:val="20"/>
          <w:color w:val="auto"/>
        </w:rPr>
      </w:pPr>
      <w:r>
        <w:rPr>
          <w:rFonts w:ascii="Times New Roman" w:cs="Times New Roman" w:eastAsia="Times New Roman" w:hAnsi="Times New Roman"/>
          <w:sz w:val="20"/>
          <w:szCs w:val="20"/>
          <w:color w:val="auto"/>
        </w:rPr>
        <w:t>heart and skin. This preclinical program is currently in the formulation development stage. Similar to the LTI-01, we have suspended any development activities for our preclinical programs until we can raise sufficient financing and are allocating our limited resources to development of LTI-03.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1"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We do not own or operate manufacturing facilities for the production of any of our product candidates, nor do we have plans to develop our own manufacturing operations in the foreseeable future. We currently rely, and expect to continue to rely, on third-party contract manufacturers for the manufacture of all our product candidates for preclinical research and clinical trials. We do not have long-term agreements with any of these third-party contract manufacturers.</w:t>
      </w:r>
    </w:p>
    <w:p>
      <w:pPr>
        <w:spacing w:after="0" w:line="73"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If any of our product candidates are approved by any regulatory agency, we intend to enter into agreements with a third-party contract manufacturer and one or more back-up manufacturers for the commercial production of our product candidates. Development and commercial quantities of any drugs that we develop will need to be manufactured in facilities, and by processes, that comply with the requirements of the FDA, and the regulatory agencies of other jurisdictions in which we are seeking approval.</w:t>
      </w:r>
    </w:p>
    <w:p>
      <w:pPr>
        <w:spacing w:after="0" w:line="77"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The risks associated with our reliance on third-party contract manufacturers are described in Item 1A. Risk Factors - Risks Related to Our Dependence on Third Parties in this Annual Report on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2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We currently have no marketing, sales or distribution capabilities. In order to commercialize any products that are approved for commercial sale, we must either develop a sales and marketing infrastructure or collaborate with third parties that have sales and marketing experience. We may seek third- party support from established pharmaceutical and biotechnology companies for those products that would benefit from the promotional support of a large sales and marketing force. In these cases, we might seek to promote our products in collaboration with marketing partners or rely on relationships with one or more companies with large established sales forces and distribution systems.</w:t>
      </w:r>
    </w:p>
    <w:p>
      <w:pPr>
        <w:spacing w:after="0" w:line="79"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We may elect to establish our own sales force to market and sell a product for which we obtain regulatory approval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1"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The biotechnology and biopharmaceutical industries are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larger pharmaceutical companies with greater resources. Smaller specialty biotechnology and biopharmaceutical companies, academic research institutions, governmental agencies, as well as public and private institutions are also potential sources of competitive products and technologies, including through collaborative arrangements with large and established biopharmaceutical companies. We also face competition in recruiting and retaining qualified scientific and management personnel, establishing clinical trial sites and enrolling patients for clinical trials, and acquiring technologies complementary to, or necessary for, our programs. We believe that the key competitive factors affecting the success of any of our product candidates will include efficacy, safety profile, convenience, method of administration, cost, level of promotional activity and intellectual property protection.</w:t>
      </w:r>
    </w:p>
    <w:p>
      <w:pPr>
        <w:spacing w:after="0" w:line="186"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There are a number of large biopharmaceutical and biotechnology companies that are currently pursuing the commercialization or development of products for the treatment of fibrosis. Companies that we are aware of that are targeting the treatment of various fibrosis indications include larger companies with significant financial resources such as AbbVie Inc., Boehringer Ingelheim GmbH, Bristol Myers Squibb Company, Gilead Sciences, Inc., Roche Holding AG, and Novartis AG. However, we know of no other companies currently in clinical development with a drug therapeutic utilizing Cav1 and Cav1-related peptides.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18" w:right="1440" w:bottom="177" w:gutter="0" w:footer="0" w:header="0"/>
        </w:sectPr>
      </w:pPr>
    </w:p>
    <w:bookmarkStart w:id="12" w:name="page13"/>
    <w:bookmarkEnd w:id="12"/>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Although our novel approach is unique from most other existing or investigational therapies across the disease areas where we are focusing our development, we will need to compete with currently approved therapies, and potentially those currently in development if they are approved. We are aware of several marketed and investigational products in our leading disease areas, including but not limited to:</w:t>
      </w:r>
    </w:p>
    <w:p>
      <w:pPr>
        <w:spacing w:after="0" w:line="84" w:lineRule="exact"/>
        <w:rPr>
          <w:sz w:val="20"/>
          <w:szCs w:val="20"/>
          <w:color w:val="auto"/>
        </w:rPr>
      </w:pPr>
    </w:p>
    <w:p>
      <w:pPr>
        <w:ind w:left="980"/>
        <w:spacing w:after="0" w:line="250" w:lineRule="auto"/>
        <w:rPr>
          <w:sz w:val="20"/>
          <w:szCs w:val="20"/>
          <w:color w:val="auto"/>
        </w:rPr>
      </w:pPr>
      <w:r>
        <w:rPr>
          <w:rFonts w:ascii="Times New Roman" w:cs="Times New Roman" w:eastAsia="Times New Roman" w:hAnsi="Times New Roman"/>
          <w:sz w:val="20"/>
          <w:szCs w:val="20"/>
          <w:color w:val="auto"/>
        </w:rPr>
        <w:t>IPF: There are currently three approved branded products for the treatment of IPF; Esbriet (pirfenidone), marketed by Roche Holding AG, and Ofev (nintedanib) and Jascayd (nerandomilast), both marketed by Boehringer Ingelheim GmbH. Companies currently developing product candidates in IPF include AbbVie Inc., Boehringer Ingelheim GmbH, Bristol Myers Squibb Company, Avalyn Pharma, Inc., Vicore Pharma Holding AB, Endeavor BioMedicines and PureTech Health plc.</w:t>
      </w:r>
    </w:p>
    <w:p>
      <w:pPr>
        <w:spacing w:after="0" w:line="86"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LPE: There are currently no approved drug therapies for the treatment of LPE. Roche Holding AG manufactures tPA and DNase, which are used off-label to treat LPE. We are not aware of any other pharmaceutical or biotechnology company developing drug therapies for the treatment of LPE.</w:t>
      </w:r>
    </w:p>
    <w:p>
      <w:pPr>
        <w:spacing w:after="0" w:line="183"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availability of reimbursement from government and other third-party payors will also significantly affect the pricing and competitiveness of our product candidates, if approved for marketing. Our competitors also may obtain FDA or other regulatory approval for their products more rapidly than we do, which could result in our competitors establishing a strong market position before we are able to enter the market.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Out-License Agreement</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Agreement with Taiho Pharmaceutical Co. Ltd.</w:t>
      </w:r>
    </w:p>
    <w:p>
      <w:pPr>
        <w:spacing w:after="0" w:line="237"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On November 12, 2020, we entered into a license agreement with Taiho, or the Taiho Agreement, to collaborate on the development and potential commercialization of LTI-01. Under the terms of the Taiho Agreement, we granted Taiho an exclusive, royalty-bearing license to develop, seek regulatory approval for and commercialize LTI-01 in Japan. We are obligated to conduct all development activities for LTI-01 through regulatory approval in the U.S. or other markets worldwide, except Japan, and retain the right to commercialize LTI-01 in all markets worldwide except Japan. Under the terms of the Taiho Agreement, we, in part through our participation in a joint development committee with Taiho, will participate in overseeing the development and commercialization of LTI-01 in Japan.</w:t>
      </w:r>
    </w:p>
    <w:p>
      <w:pPr>
        <w:spacing w:after="0" w:line="187"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In consideration for the exclusive, royalty-bearing license and other rights contained in the Taiho Agreement, Taiho made a non-refundable, non-creditable payment to us of $5.0 million. We are also eligible to receive an additional milestone payment of $10.0 million.</w:t>
      </w:r>
    </w:p>
    <w:p>
      <w:pPr>
        <w:spacing w:after="0" w:line="18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are entitled to receive a minimum percentage on product sales for commercial supply and royalties. In addition, we are entitled to receive royalties on net sales of LTI-01 in Japan. Royalties will be payable during the period commencing on the first commercial sale of LTI-01 in Japan and ending upon termination or expiration of the Taiho Agreement.</w:t>
      </w:r>
    </w:p>
    <w:p>
      <w:pPr>
        <w:spacing w:after="0" w:line="18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Unless earlier terminated, the Taiho Agreement will expire on the later of (i) 10 years after the date of first commercial sale of LTI-01 in Japan, (ii) the expiration of the last valid intellectual property claim of any of our patents, if any, that covers LTI-01 in Japan and (iii) the expiration of the regulatory data exclusivity in Japan. Taiho has the ability to extend the term of the Taiho Agreement upon notice at least 12 months prior to the expiration of the initial term. Upon this extension notice, we and Taiho will negotiate a revised minimum supply transfer price, royalty and length of the extension term. Taiho has the ability to terminate the Taiho Agreement early for safety reasons or if marketing approval in Japan has not occurred within three years of initial filing for approval in Japan.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In-License Agreements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Agreement with the University of Texas Health Science Center at Tyler</w:t>
      </w:r>
    </w:p>
    <w:p>
      <w:pPr>
        <w:spacing w:after="0" w:line="237"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In June 2013, we entered into a patent and technology license agreement with the Board of Regents of the University of Texas System, or UT System, on behalf of the University of Texas Health Sciences Center at Tyler, or UTHSCT. The patent and technology license agreement with UT System, or the UTHSCT Agreement, provides 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18" w:right="1440" w:bottom="177"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9"/>
          <w:szCs w:val="19"/>
          <w:color w:val="auto"/>
        </w:rPr>
        <w:t>access to patents and technology related to the development of LTI-01 and LTI-03. As part of the UTHSCT Agreement, we have (i) a royalty -bearing, exclusive license under the patent rights to manufacture, distribute, and sell certain intellectual property; (ii) a non-exclusive license under the technology rights to manufacture, distribute and sell the licensed product; and (iii) a sublicensing right that allows us to grant sublicenses to affiliates and third parties to use the licensed product in the field of use and approved territories outlined in the UTHSCT Agreement. In December 2013, the UTHSCT Agreement was amended and restated to include certain patents in all fields worldwide. In May 2017, the UTHSCT Agreement was amended and restated to modify the specific milestone criteria.</w:t>
      </w:r>
    </w:p>
    <w:p>
      <w:pPr>
        <w:spacing w:after="0" w:line="186"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In consideration of the UTHSCT Agreement, we agreed to pay past and ongoing patent expenses, and we are obligated to pay UTHSCT sublicensing fees, assignment fees, and single digit royalties on worldwide net product sales, with fixed minimum royalty payments that started in 2015.</w:t>
      </w:r>
    </w:p>
    <w:p>
      <w:pPr>
        <w:spacing w:after="0" w:line="18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Pursuant to the UTHSCT Agreement, we are required to use diligent efforts to commercialize the licensed technology as soon as commercially practicable, including maintaining active research and development, regulatory, marketing and sales program, all as commercially reasonable.</w:t>
      </w:r>
    </w:p>
    <w:p>
      <w:pPr>
        <w:spacing w:after="0" w:line="185"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We may terminate the UTHSCT Agreement for convenience with 90 days’ notice. UTHSCT may also terminate the UTHSCT Agreement, but only if we breach the terms of the agreement. We incurred $0.1 million in a minimum royalty fee during the years ended December 31, 2025 and 2024, respectively.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Agreement with the University of Texas at Austin</w:t>
      </w:r>
    </w:p>
    <w:p>
      <w:pPr>
        <w:spacing w:after="0" w:line="238"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9"/>
          <w:szCs w:val="19"/>
          <w:color w:val="auto"/>
        </w:rPr>
        <w:t>In May 2015, we entered into a patent license agreement with the University of Texas at Austin, or UT Austin, on behalf of UT System. This license agreement with UT Austin, or the UT Austin 6607 Agreement, relates to the patent rights to polypeptide therapeutics and uses thereof. Pursuant to the UT Austin 6607 Agreement we have (i) a royalty-bearing, exclusive license under the patent rights to manufacture, distribute, and sell the licensed product; and</w:t>
      </w:r>
    </w:p>
    <w:p>
      <w:pPr>
        <w:spacing w:after="0" w:line="2" w:lineRule="exact"/>
        <w:rPr>
          <w:sz w:val="20"/>
          <w:szCs w:val="20"/>
          <w:color w:val="auto"/>
        </w:rPr>
      </w:pPr>
    </w:p>
    <w:p>
      <w:pPr>
        <w:jc w:val="both"/>
        <w:spacing w:after="0" w:line="250" w:lineRule="auto"/>
        <w:tabs>
          <w:tab w:leader="none" w:pos="29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sublicensing right that allows us to grant sublicenses to affiliates and third parties to use the licensed product in the field of use and approved territories outlined in the agreement. The UT Austin 6607 Agreement was amended and restated in January 2017, November 2018, and June 2019. The amendments related to extension of milestone payment dates and specific terminology around the milestone achievement criteria.</w:t>
      </w:r>
    </w:p>
    <w:p>
      <w:pPr>
        <w:spacing w:after="0" w:line="19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consideration of the UT Austin 6607 Agreement, we agreed to pay past and ongoing patent expenses, milestone fees upon certain development and regulatory milestone events, annual license fees, tiered sublicense fees, assignment fees, low single digit royalties on net sales and the FDA Priority Review Voucher fee if we sell or transfers this voucher.</w:t>
      </w:r>
    </w:p>
    <w:p>
      <w:pPr>
        <w:spacing w:after="0" w:line="191"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Pursuant to the UT Austin 6607 Agreement, we are required to use diligent efforts to commercialize the licensed products, including maintaining active research and development, regulatory, marketing and sales program. Moreover, we are required to meet certain development and regulatory milestones by specific dates.</w:t>
      </w:r>
    </w:p>
    <w:p>
      <w:pPr>
        <w:spacing w:after="0" w:line="184"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We may terminate the UT Austin 6607 Agreement for convenience with 90 days’ notice. UT Austin may also terminate the UT Austin 6607 Agreement, but only if we breach the terms of the agreement. We did not incur any expenses under the UT Austin 6607 Agreement during the years ended December 31, 2025 and 2024.</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Agreement with Medical University of South Carolina</w:t>
      </w:r>
    </w:p>
    <w:p>
      <w:pPr>
        <w:spacing w:after="0" w:line="23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March 2016, we entered into a license agreement with Medical University of South Carolina Foundation for Research Development, or MUSC. Pursuant to this license agreement with MUSC, or the MUSC Agreement, we have patent rights related to protecting against lung fibrosis by up-regulating Cav1. The MUSC Agreement granted (i) a royalty-bearing, exclusive license under the patent rights to make, use and sell the license product; and (ii) a sublicensing right that allows us to grant sublicenses to affiliates and third parties to use the licensed product in the field of use and approved territories outlined in the agreement. In September 2018, the agreement was amended and restated to include definitions of related methods, related products and related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18" w:right="1440" w:bottom="177" w:gutter="0" w:footer="0" w:header="0"/>
        </w:sectPr>
      </w:pPr>
    </w:p>
    <w:bookmarkStart w:id="14" w:name="page15"/>
    <w:bookmarkEnd w:id="14"/>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consideration of the MUSC Agreement, we agreed to pay a non-refundable license fee, patent expenses, milestone fees upon certain development, regulatory and commercial milestone events, sublicense fees, assignment fees and low single digit royalties on net sales, with a fixed minimum royalty payment starting in 2019 and a transaction fee upon our liquidation.</w:t>
      </w:r>
    </w:p>
    <w:p>
      <w:pPr>
        <w:spacing w:after="0" w:line="189"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Pursuant to the MUSC Agreement, we are required to use diligent efforts to develop, manufacture and sell the licensed products.</w:t>
      </w:r>
    </w:p>
    <w:p>
      <w:pPr>
        <w:spacing w:after="0" w:line="164"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We may terminate the MUSC Agreement for convenience by providing a written notice to MUSC effective 90 days following the receipt of notice, and either party may terminate the agreement for a breach of contract. We incurred $25 thousand in a minimum royalty fee during the years ended December 31, 2025 and 2024.</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Agreement with Vivarta Therapeutics LLC</w:t>
      </w:r>
    </w:p>
    <w:p>
      <w:pPr>
        <w:spacing w:after="0" w:line="237"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In March 2018, we entered into a license agreement with Vivarta Therapeutics, LLC, or Vivarta. This license agreement with Vivarta, or the Vivarta Agreement, relates to intellectual property relating to epithelial sodium channel inhibitors and methods to treat pulmonary disease. Pursuant to the Vivarta Agreement we have (i) a royalty-bearing, exclusive license under the intellectual property rights to make, use and sell the licensed product, and (ii) a sublicensing right that allows us to grant sublicenses to affiliates and third parties to use the licensed product in the field of use and approved territories outlined in the agreement.</w:t>
      </w:r>
    </w:p>
    <w:p>
      <w:pPr>
        <w:spacing w:after="0" w:line="20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In consideration of the Vivarta Agreement, we also agreed to pay patent expenses, milestone fees upon certain development and regulatory milestone events, sublicense fees, assignment fees and low single digit royalties on net sales.</w:t>
      </w:r>
    </w:p>
    <w:p>
      <w:pPr>
        <w:spacing w:after="0" w:line="185"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Pursuant to the Vivarta Agreement, we are required to use diligent efforts to develop, manufacture and sell the licensed products.</w:t>
      </w:r>
    </w:p>
    <w:p>
      <w:pPr>
        <w:spacing w:after="0" w:line="163"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We may terminate the Vivarta Agreement for convenience by providing a written notice to Vivarta effective 90 days following the receipt of notice, and either party may terminate the agreement for a breach of contract. We did not incur any expenses under the Vivarta Agreement during the years ended December 31, 2025 and 2024.</w:t>
      </w:r>
    </w:p>
    <w:p>
      <w:pPr>
        <w:spacing w:after="0" w:line="181"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56" w:lineRule="exact"/>
        <w:rPr>
          <w:sz w:val="20"/>
          <w:szCs w:val="20"/>
          <w:color w:val="auto"/>
        </w:rPr>
      </w:pPr>
    </w:p>
    <w:p>
      <w:pPr>
        <w:jc w:val="center"/>
        <w:ind w:right="762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pipeline of product candidates and on know-how, continuing technological innovation and in-licensing opportunities to develop and strengthen our pipeline that may be important for the development and growth of our business. We additionally may rely on regulatory protection afforded through data exclusivity, market exclusivity and patent term extensions, where available.</w:t>
      </w:r>
    </w:p>
    <w:p>
      <w:pPr>
        <w:spacing w:after="0" w:line="19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18" w:right="1440" w:bottom="177" w:gutter="0" w:footer="0" w:header="0"/>
        </w:sectPr>
      </w:pPr>
    </w:p>
    <w:bookmarkStart w:id="15" w:name="page16"/>
    <w:bookmarkEnd w:id="15"/>
    <w:p>
      <w:pPr>
        <w:jc w:val="both"/>
        <w:ind w:firstLine="490"/>
        <w:spacing w:after="0" w:line="257" w:lineRule="auto"/>
        <w:rPr>
          <w:sz w:val="20"/>
          <w:szCs w:val="20"/>
          <w:color w:val="auto"/>
        </w:rPr>
      </w:pPr>
      <w:r>
        <w:rPr>
          <w:rFonts w:ascii="Times New Roman" w:cs="Times New Roman" w:eastAsia="Times New Roman" w:hAnsi="Times New Roman"/>
          <w:sz w:val="19"/>
          <w:szCs w:val="19"/>
          <w:color w:val="auto"/>
        </w:rPr>
        <w:t>As of March 24, 2026, we own or have licensed fifty-eight issued patents and fifty-two pending patent applications worldwide, which are material to the programs described below relating to the Lung business. Forty-six issued patents worldwide and five pending patent applications are owned by the UT System, which have granted us exclusive license rights to the technology. We own five issued patent and ten pending patent applications worldwide together with the UT System, which have granted us exclusive license rights to the technology. Our policy is to file patent applications to protect technology, inventions and improvements to inventions that are commercially important to the development of our business. We seek U.S. and foreign patent protection for a variety of technologies, including caveolin-1 peptides, such as LTI-03, compositions, and formulations related to caveolin-1 peptides, methods for therapeutic use of caveolin-1 peptides and conjugates of interest and diagnostic methods with caveolin-1 peptides for treating diseases of interest. We also intend to seek patent protection or rely upon trade secret rights to protect other technologies that may be used to discover and validate targets and identify and develop novel products. We seek protection, in part, through confidentiality and proprietary information agreements. We are a party to various other license agreements that give us rights to use specific technologies in our research and development.</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LTI-03 Program</w:t>
      </w:r>
    </w:p>
    <w:p>
      <w:pPr>
        <w:spacing w:after="0" w:line="23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As of March 24, 2026, we owned two U.S. patents, including U.S. Patent Nos. 12,280,088 and 12,280,089, three patents granted outside of the U.S., nine pending U.S. patent applications, and twenty- eight pending applications outside of the U.S. related to the LTI-03 program. We also have licensed: six U.S. patents, including U.S. Patent Nos. 8,697,840, 9,630,990, 10,377,796, 11,161,875, 11,780,879, and 12,173,089, forty patents granted outside of the U.S., one pending U.S. application, and four pending applications outside of the U.S. related to the LTI-03 program. The issued LTI-03 related patents are expected to expire between the years 2030 and 2041, without any available patent term extensions. Patents that may issue from the pending applications are expected to expire between the years 2034 and 2044, without any available patent term extensions. The issued patents we own with the UT system are directed to dry powder formulations of LTI-03 and therapeutic uses thereof. The in-licensed LTI-03 issued patents from the UT System are directed to methods of treating acute lung injury or pulmonary fibrosis with LTI-03 and methods of treating a condition characterized by fibrosis with LTI-03. The pending applications in the LTI-03 program are directed to methods for treating diseases or disorders, including fibrosis, methods for increasing viability of lung epithelial cells, and formulations, including dry powder and extended-release formulations, as well as therapeutic uses of LTI-03 for other indications interest and diagnostic methods.</w:t>
      </w:r>
    </w:p>
    <w:p>
      <w:pPr>
        <w:spacing w:after="0" w:line="20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As of March 24, 2026, we also own three U.S. patents, four patents granted outside of the U.S., one pending U.S. application, and nine pending applications outside of the U.S. related to other caveolin-1 peptides related to LTI-03. These patents and patents that may issue from these pending applications are expected to expire in 2039.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Government Regulation of Drug and Biological Products</w:t>
      </w:r>
    </w:p>
    <w:p>
      <w:pPr>
        <w:spacing w:after="0" w:line="241"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auto"/>
        </w:rPr>
        <w:t>Government authorities in the U.S.,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sales, pricing, reimbursement, post-approval monitoring and reporting, and import and export of drugs and biologics. The processes for obtaining regulatory approvals in the U.S. and in foreign countries and jurisdictions, along with subsequent compliance with applicable statutes and regulations and other regulatory authorities, require the expenditure of substantial time and financial resources. The regulatory requirements applicable to product development, approval and marketing are subject to change, and regulations and administrative guidance are often revised or reinterpreted by government agencies in ways that may have a significant impact on our business.</w:t>
      </w:r>
    </w:p>
    <w:p>
      <w:pPr>
        <w:spacing w:after="0" w:line="188"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In the U.S., the FDA approves and regulates drug products under the Federal Food, Drug, and Cosmetic, or FDCA, and related regulations. Biological products, or biologics, are licensed for marketing under the Public Health Service Act, or PHSA, and subject to regulation under the FDCA and related regulations.</w:t>
      </w:r>
    </w:p>
    <w:p>
      <w:pPr>
        <w:spacing w:after="0" w:line="183"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19"/>
          <w:szCs w:val="19"/>
          <w:color w:val="auto"/>
        </w:rPr>
        <w:t>A company, institution, or organization which takes responsibility for the initiation and management of a clinical development program for such products is referred to as a sponsor. A sponsor seeking approval to market and distribute a new drug or biological product in the U.S. must satisfactorily complete the following steps,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18" w:right="1440" w:bottom="177" w:gutter="0" w:footer="0" w:header="0"/>
        </w:sectPr>
      </w:pPr>
    </w:p>
    <w:bookmarkStart w:id="16" w:name="page17"/>
    <w:bookmarkEnd w:id="16"/>
    <w:p>
      <w:pPr>
        <w:ind w:left="980"/>
        <w:spacing w:after="0" w:line="279" w:lineRule="auto"/>
        <w:rPr>
          <w:sz w:val="20"/>
          <w:szCs w:val="20"/>
          <w:color w:val="auto"/>
        </w:rPr>
      </w:pPr>
      <w:r>
        <w:rPr>
          <w:rFonts w:ascii="Times New Roman" w:cs="Times New Roman" w:eastAsia="Times New Roman" w:hAnsi="Times New Roman"/>
          <w:sz w:val="20"/>
          <w:szCs w:val="20"/>
          <w:color w:val="auto"/>
        </w:rPr>
        <w:t>completion of preclinical laboratory tests and animal studies according to good laboratory practices, or GLP, or other applicable regulations;</w:t>
      </w:r>
    </w:p>
    <w:p>
      <w:pPr>
        <w:spacing w:after="0" w:line="5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manufacture and testing of the therapeutic or biologic moiety and its respective product formulation according to good manufacturing practices, or cGMP, or other applicable regulations;</w:t>
      </w:r>
    </w:p>
    <w:p>
      <w:pPr>
        <w:spacing w:after="0" w:line="57"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design of a clinical protocol and submission to the FDA of an investigational new drug application, or IND, which must become effective before human clinical trials may begin and must be updated annually and amended when certain changes are made;</w:t>
      </w:r>
    </w:p>
    <w:p>
      <w:pPr>
        <w:spacing w:after="0" w:line="7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approval by an independent institutional review board, or IRB, or ethics committee representing each clinical trial site before each clinical trial may be initiated;</w:t>
      </w:r>
    </w:p>
    <w:p>
      <w:pPr>
        <w:spacing w:after="0" w:line="57"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applicable IND regulations, good clinical practices, or GCPs, and other clinical-trial related regulations to evaluate the safety and efficacy of the investigational drug product and the safety, purity and potency for the investigational biologic product for each proposed indication;</w:t>
      </w:r>
    </w:p>
    <w:p>
      <w:pPr>
        <w:spacing w:after="0" w:line="85"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preparation and submission to the FDA of an NDA or BLA requesting marketing approval for one or more proposed indications;</w:t>
      </w:r>
    </w:p>
    <w:p>
      <w:pPr>
        <w:spacing w:after="0" w:line="57" w:lineRule="exact"/>
        <w:rPr>
          <w:sz w:val="20"/>
          <w:szCs w:val="20"/>
          <w:color w:val="auto"/>
        </w:rPr>
      </w:pPr>
    </w:p>
    <w:p>
      <w:pPr>
        <w:ind w:left="980" w:right="240"/>
        <w:spacing w:after="0" w:line="380" w:lineRule="auto"/>
        <w:rPr>
          <w:sz w:val="20"/>
          <w:szCs w:val="20"/>
          <w:color w:val="auto"/>
        </w:rPr>
      </w:pPr>
      <w:r>
        <w:rPr>
          <w:rFonts w:ascii="Times New Roman" w:cs="Times New Roman" w:eastAsia="Times New Roman" w:hAnsi="Times New Roman"/>
          <w:sz w:val="20"/>
          <w:szCs w:val="20"/>
          <w:color w:val="auto"/>
        </w:rPr>
        <w:t>payment of application and program fees pursuant to the Prescription Drug User Fee Act, or PDUFA; review of the NDA or BLA by an FDA advisory committee, where applicable;</w:t>
      </w:r>
    </w:p>
    <w:p>
      <w:pPr>
        <w:ind w:left="980"/>
        <w:spacing w:after="0" w:line="253" w:lineRule="auto"/>
        <w:rPr>
          <w:sz w:val="20"/>
          <w:szCs w:val="20"/>
          <w:color w:val="auto"/>
        </w:rPr>
      </w:pPr>
      <w:r>
        <w:rPr>
          <w:rFonts w:ascii="Times New Roman" w:cs="Times New Roman" w:eastAsia="Times New Roman" w:hAnsi="Times New Roman"/>
          <w:sz w:val="20"/>
          <w:szCs w:val="20"/>
          <w:color w:val="auto"/>
        </w:rPr>
        <w:t>satisfactory completion of one or more FDA inspections of the manufacturing facility or facilities at which the drug or biologic and its respective finished product is produced to assess compliance with cGMP requirements to assure that the facilities, methods and controls are adequate to preserve the product’s identity, strength, quality and purity;</w:t>
      </w:r>
    </w:p>
    <w:p>
      <w:pPr>
        <w:spacing w:after="0" w:line="85"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satisfactory completion of any FDA audits of clinical trial sites to assure compliance with GCPs and the integrity of the clinical data submitted in support of the NDA or BLA; and</w:t>
      </w:r>
    </w:p>
    <w:p>
      <w:pPr>
        <w:spacing w:after="0" w:line="5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FDA review and approval of the NDA or BLA authorizing marketing of the drug or biological product for particular indications in the United States; and</w:t>
      </w:r>
    </w:p>
    <w:p>
      <w:pPr>
        <w:spacing w:after="0" w:line="57"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compliance with any post-approval requirements, including the potential requirement to implement a Risk Evaluation and Mitigation Strategy, or REMS, and any other potential post-approval studies required by the FDA.</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 and IND</w:t>
      </w:r>
    </w:p>
    <w:p>
      <w:pPr>
        <w:spacing w:after="0" w:line="23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Before testing any drug or biological product candidate in humans, the product candidate must undergo rigorous preclinical testing. The preclinical developmental stage generally involves laboratory evaluations of drug chemistry/biology, formulation and stability, as well as in vitro and animal studies to assess safety and in some cases to establish a rationale for therapeutic use. The conduct of preclinical studies is subject to federal regulations and requirements, including GLP regulations for safety and toxicology studies. The sponsor must submit the results of the preclinical studies, together with manufacturing information, analytical data, any available clinical data or literature and a proposed clinical protocol, to the FDA as part of the IND. The results of the preclinical tests, together with manufacturing information and analytical data, are submitted to the FDA as part of an IND application and are typically referred to as IND-enabling studies.</w:t>
      </w:r>
    </w:p>
    <w:p>
      <w:pPr>
        <w:spacing w:after="0" w:line="206"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An IND is a request for authorization from the FDA to administer an investigational product to humans. The IND sponsor must submit the IND and then wait 30 days before initiating clinical trials, so that FDA can use that time to review the submission, and raise concerns or questions related to one or more proposed clinical trials. Even if the FDA does not raise concerns within 30 days, it could place the clinical trial on a clinical hold due to, for example, potential safety concerns or CMC issues. In such a case, the IND sponsor and the FDA must resolve any outstanding concerns before the clinical trial can begin. Imposition of a clinical hold could cause significant delays or difficulties in initiating and/or completing planned clinical trials in a timely manner. Certain long-term preclinical testing,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33" w:right="1440" w:bottom="177" w:gutter="0" w:footer="0" w:header="0"/>
        </w:sectPr>
      </w:pPr>
    </w:p>
    <w:bookmarkStart w:id="17" w:name="page18"/>
    <w:bookmarkEnd w:id="17"/>
    <w:p>
      <w:pPr>
        <w:jc w:val="both"/>
        <w:ind w:right="20"/>
        <w:spacing w:after="0" w:line="279" w:lineRule="auto"/>
        <w:rPr>
          <w:sz w:val="20"/>
          <w:szCs w:val="20"/>
          <w:color w:val="auto"/>
        </w:rPr>
      </w:pPr>
      <w:r>
        <w:rPr>
          <w:rFonts w:ascii="Times New Roman" w:cs="Times New Roman" w:eastAsia="Times New Roman" w:hAnsi="Times New Roman"/>
          <w:sz w:val="20"/>
          <w:szCs w:val="20"/>
          <w:color w:val="auto"/>
        </w:rPr>
        <w:t>as animal tests of reproductive adverse events and carcinogenicity, may initiate or continue after an IND for an investigational product candidate is submitted to the FDA and human clinical trials have been initiated.</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Human Clinical Trials in Support of an NDA or BLA</w:t>
      </w:r>
    </w:p>
    <w:p>
      <w:pPr>
        <w:spacing w:after="0" w:line="238" w:lineRule="exact"/>
        <w:rPr>
          <w:sz w:val="20"/>
          <w:szCs w:val="20"/>
          <w:color w:val="auto"/>
        </w:rPr>
      </w:pPr>
    </w:p>
    <w:p>
      <w:pPr>
        <w:jc w:val="both"/>
        <w:ind w:right="20" w:firstLine="490"/>
        <w:spacing w:after="0" w:line="249" w:lineRule="auto"/>
        <w:rPr>
          <w:sz w:val="20"/>
          <w:szCs w:val="20"/>
          <w:color w:val="auto"/>
        </w:rPr>
      </w:pPr>
      <w:r>
        <w:rPr>
          <w:rFonts w:ascii="Times New Roman" w:cs="Times New Roman" w:eastAsia="Times New Roman" w:hAnsi="Times New Roman"/>
          <w:sz w:val="20"/>
          <w:szCs w:val="20"/>
          <w:color w:val="auto"/>
        </w:rPr>
        <w:t>Clinical trials involve the administration of an investigational product candidate to healthy volunteers or patients with the disease to be treated under the supervision of qualified investigators. Clinical trials are conducted under protocols detailing the objectives of the study, inclusion and exclusion criteria, dosing procedures and the parameters to be used in monitoring the safety and effectiveness criteria to be evaluated. Each protocol, as well as any subsequent amendments, must be submitted to the FDA as part of the IND.</w:t>
      </w:r>
    </w:p>
    <w:p>
      <w:pPr>
        <w:spacing w:after="0" w:line="197" w:lineRule="exact"/>
        <w:rPr>
          <w:sz w:val="20"/>
          <w:szCs w:val="20"/>
          <w:color w:val="auto"/>
        </w:rPr>
      </w:pPr>
    </w:p>
    <w:p>
      <w:pPr>
        <w:jc w:val="both"/>
        <w:ind w:right="20" w:firstLine="490"/>
        <w:spacing w:after="0" w:line="245" w:lineRule="auto"/>
        <w:rPr>
          <w:sz w:val="20"/>
          <w:szCs w:val="20"/>
          <w:color w:val="auto"/>
        </w:rPr>
      </w:pPr>
      <w:r>
        <w:rPr>
          <w:rFonts w:ascii="Times New Roman" w:cs="Times New Roman" w:eastAsia="Times New Roman" w:hAnsi="Times New Roman"/>
          <w:sz w:val="20"/>
          <w:szCs w:val="20"/>
          <w:color w:val="auto"/>
        </w:rPr>
        <w:t>An IRB representing each institution that is participating in the clinical trial must review and approve the plan for any clinical trial before it commences at that institution, and the IRB must thereafter conduct a continuing review of the trial. The IRB will consider, among other things, clinical trial design, patient informed consent, ethical factors and the safety of human subjects. The IRB must review and approve, among other things, the trial protocol and informed consent information to be provided to clinical trial subjects or their legal representatives and must operate in compliance with FDA regulations. An IRB can suspend or terminate approval of a clinical trial if the clinical trial is not being conducted in accordance with the clinical protocol, GCP, or other IRB requirements or, if the drug or biologic has been associated with unexpected serious harm to patients.</w:t>
      </w:r>
    </w:p>
    <w:p>
      <w:pPr>
        <w:spacing w:after="0" w:line="20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Clinical trials must also comply with extensive GCP standards intended to ensure protection of human subjects and the quality and integrity of the study data, including requirements for obtaining subjects’ informed consent. Additionally, some clinical trials are overseen by an independent group of qualified experts organized by the clinical trial sponsor, known as a data monitoring committee, or DMC. This group may recommend continuation of the trial as planned, changes in trial conduct or cessation of the trial at designated checkpoints based on access to certain data from the study. The FDA may, at any time while clinical trials are ongoing, impose a partial or complete clinical hold based on concerns for patient safety and/or noncompliance with regulatory requirements. This order, if issued by the FDA, would cause suspension of an ongoing trial until all outstanding concerns have been adequately addressed and the FDA has notified the company that investigations may proceed.</w:t>
      </w:r>
    </w:p>
    <w:p>
      <w:pPr>
        <w:spacing w:after="0" w:line="206" w:lineRule="exact"/>
        <w:rPr>
          <w:sz w:val="20"/>
          <w:szCs w:val="20"/>
          <w:color w:val="auto"/>
        </w:rPr>
      </w:pPr>
    </w:p>
    <w:p>
      <w:pPr>
        <w:jc w:val="both"/>
        <w:ind w:right="20" w:firstLine="490"/>
        <w:spacing w:after="0" w:line="280" w:lineRule="auto"/>
        <w:rPr>
          <w:sz w:val="20"/>
          <w:szCs w:val="20"/>
          <w:color w:val="auto"/>
        </w:rPr>
      </w:pPr>
      <w:r>
        <w:rPr>
          <w:rFonts w:ascii="Times New Roman" w:cs="Times New Roman" w:eastAsia="Times New Roman" w:hAnsi="Times New Roman"/>
          <w:sz w:val="20"/>
          <w:szCs w:val="20"/>
          <w:color w:val="auto"/>
        </w:rPr>
        <w:t>Human clinical trials to evaluate therapeutic indications to support NDAs and BLAs for marketing approval are typically conducted in three sequential phases that may overlap or be combined:</w:t>
      </w:r>
    </w:p>
    <w:p>
      <w:pPr>
        <w:spacing w:after="0" w:line="57" w:lineRule="exact"/>
        <w:rPr>
          <w:sz w:val="20"/>
          <w:szCs w:val="20"/>
          <w:color w:val="auto"/>
        </w:rPr>
      </w:pPr>
    </w:p>
    <w:p>
      <w:pPr>
        <w:ind w:left="980" w:right="20"/>
        <w:spacing w:after="0" w:line="250" w:lineRule="auto"/>
        <w:rPr>
          <w:sz w:val="20"/>
          <w:szCs w:val="20"/>
          <w:color w:val="auto"/>
        </w:rPr>
      </w:pPr>
      <w:r>
        <w:rPr>
          <w:rFonts w:ascii="Times New Roman" w:cs="Times New Roman" w:eastAsia="Times New Roman" w:hAnsi="Times New Roman"/>
          <w:sz w:val="20"/>
          <w:szCs w:val="20"/>
          <w:color w:val="auto"/>
        </w:rPr>
        <w:t>Phase 1: The product candidate is initially introduced into human subjects and tested for safety, dosage tolerance, absorption, metabolism, distribution and excretion, and if possible, to gain early evidence for effectiveness. Phase 1 trials may be conducted in healthy volunteers or, in the case of some products for severe or life-threatening diseases, including many rare diseases, the initial human testing is often conducted in patients with the target disease or condition.</w:t>
      </w:r>
    </w:p>
    <w:p>
      <w:pPr>
        <w:spacing w:after="0" w:line="86" w:lineRule="exact"/>
        <w:rPr>
          <w:sz w:val="20"/>
          <w:szCs w:val="20"/>
          <w:color w:val="auto"/>
        </w:rPr>
      </w:pPr>
    </w:p>
    <w:p>
      <w:pPr>
        <w:ind w:left="980" w:right="20"/>
        <w:spacing w:after="0" w:line="250" w:lineRule="auto"/>
        <w:rPr>
          <w:sz w:val="20"/>
          <w:szCs w:val="20"/>
          <w:color w:val="auto"/>
        </w:rPr>
      </w:pPr>
      <w:r>
        <w:rPr>
          <w:rFonts w:ascii="Times New Roman" w:cs="Times New Roman" w:eastAsia="Times New Roman" w:hAnsi="Times New Roman"/>
          <w:sz w:val="20"/>
          <w:szCs w:val="20"/>
          <w:color w:val="auto"/>
        </w:rPr>
        <w:t>Phase 2: Clinical trials are conducted in a limited patient population with a specified disease or condition to identify possible adverse effects and safety risks, to preliminarily evaluate the efficacy of the product for specific targeted diseases and to determine dosage tolerance and optimal dosage. Multiple Phase 2 clinical trials may be conducted to obtain information prior to beginning larger and more expensive Phase 3 clinical trials.</w:t>
      </w:r>
    </w:p>
    <w:p>
      <w:pPr>
        <w:spacing w:after="0" w:line="87" w:lineRule="exact"/>
        <w:rPr>
          <w:sz w:val="20"/>
          <w:szCs w:val="20"/>
          <w:color w:val="auto"/>
        </w:rPr>
      </w:pPr>
    </w:p>
    <w:p>
      <w:pPr>
        <w:ind w:left="980" w:right="20"/>
        <w:spacing w:after="0" w:line="247" w:lineRule="auto"/>
        <w:rPr>
          <w:sz w:val="20"/>
          <w:szCs w:val="20"/>
          <w:color w:val="auto"/>
        </w:rPr>
      </w:pPr>
      <w:r>
        <w:rPr>
          <w:rFonts w:ascii="Times New Roman" w:cs="Times New Roman" w:eastAsia="Times New Roman" w:hAnsi="Times New Roman"/>
          <w:sz w:val="20"/>
          <w:szCs w:val="20"/>
          <w:color w:val="auto"/>
        </w:rPr>
        <w:t>Phase 3: Clinical trials are undertaken with an expanded patient population to further evaluate dosage, and to provide substantial evidence of clinical efficacy and safety in an expanded patient population, often at geographically dispersed clinical study sites. These studies are intended to establish the overall risk-benefit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w:t>
      </w:r>
    </w:p>
    <w:p>
      <w:pPr>
        <w:spacing w:after="0" w:line="200" w:lineRule="exact"/>
        <w:rPr>
          <w:sz w:val="20"/>
          <w:szCs w:val="20"/>
          <w:color w:val="auto"/>
        </w:rPr>
      </w:pPr>
    </w:p>
    <w:p>
      <w:pPr>
        <w:jc w:val="both"/>
        <w:ind w:right="20" w:firstLine="490"/>
        <w:spacing w:after="0" w:line="266" w:lineRule="auto"/>
        <w:rPr>
          <w:sz w:val="20"/>
          <w:szCs w:val="20"/>
          <w:color w:val="auto"/>
        </w:rPr>
      </w:pPr>
      <w:r>
        <w:rPr>
          <w:rFonts w:ascii="Times New Roman" w:cs="Times New Roman" w:eastAsia="Times New Roman" w:hAnsi="Times New Roman"/>
          <w:sz w:val="19"/>
          <w:szCs w:val="19"/>
          <w:color w:val="auto"/>
        </w:rPr>
        <w:t>Post-approval trials, sometimes referred to as Phase 4 clinical trials, may be conducted after initial marketing approval. These trials are used to gain additional experience from the treatment of patients in the intended therapeutic indication, or to document a clinical benefit in the case of drugs or biologics approved under the FDA’s accelerated approval regulations and generate additional safety data regarding use of the product in a clinical setting. In certain instances, the FDA may mandate the performance of Phase 4 clinical trials as a condition of approval of an NDA or</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80"/>
          </w:cols>
          <w:pgMar w:left="1440" w:top="1418" w:right="1420" w:bottom="177" w:gutter="0" w:footer="0" w:header="0"/>
        </w:sectPr>
      </w:pPr>
    </w:p>
    <w:bookmarkStart w:id="18" w:name="page19"/>
    <w:bookmarkEnd w:id="18"/>
    <w:p>
      <w:pPr>
        <w:jc w:val="both"/>
        <w:spacing w:after="0" w:line="279" w:lineRule="auto"/>
        <w:rPr>
          <w:sz w:val="20"/>
          <w:szCs w:val="20"/>
          <w:color w:val="auto"/>
        </w:rPr>
      </w:pPr>
      <w:r>
        <w:rPr>
          <w:rFonts w:ascii="Times New Roman" w:cs="Times New Roman" w:eastAsia="Times New Roman" w:hAnsi="Times New Roman"/>
          <w:sz w:val="20"/>
          <w:szCs w:val="20"/>
          <w:color w:val="auto"/>
        </w:rPr>
        <w:t>BLA. Failure to exhibit due diligence with regard to conducting Phase 4 clinical trials could result in withdrawal of approval for the product.</w:t>
      </w:r>
    </w:p>
    <w:p>
      <w:pPr>
        <w:spacing w:after="0" w:line="165"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December 2022, with the passage of Food and Drug Omnibus Reform Act, or FDORA, Congress began requiring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Diversity Action Plans, or DAPs. Information about certain clinical trials, including details of the protocol and eventually study results, also must be submitted within specific time frames to the National Institutes of Health for public dissemination on the clinicaltrials.gov data registry. Similar requirements for posting clinical trial information in clinical trial registries exist in the EU and in other countries outside the U.S. As of December 19, 2024, the FDA has issued six notices of non-compliance, thereby signaling the government’s willingness to begin enforcing these requirements against non-compliant clinical trial sponsors. While these notices of non-compliance did not result in civil monetary penalties, the failure to submit clinical trial information to clinicaltrials.gov is a prohibited act under the FDCA with violations subject to potential civil monetary penalties of up to $10 thousand for each day the violation continues. Violations may also result in injunctions and/or criminal prosecution or disqualification from federal grants.</w:t>
      </w:r>
    </w:p>
    <w:p>
      <w:pPr>
        <w:spacing w:after="0" w:line="20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 The FDA has indicated that its responses, as conveyed in meeting minutes and advice letters, only constitute mere recommendations and/or advice made to a sponsor and, as such, sponsors are not bound by such recommendations and/or advice. From a practical perspective, a sponsor’s failure to follow the FDA’s recommendations for design of a clinical program may put the program at significant risk of failure.</w:t>
      </w:r>
    </w:p>
    <w:p>
      <w:pPr>
        <w:spacing w:after="0" w:line="20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nonclinical studies and must also develop additional information about the physical characteristics of the drug or biological product and finalize a process for manufacturing the product in commercial quantities in accordance with cGMP regulatory requirements. The manufacturing process must be capable of consistently producing quality batches of the product candidate and, among other things, the manufacturer must develop methods for testing the identity, strength, quality, potency and purity of the final drug or biological product. For biological products in particular, the PHSA emphasizes the importance of manufacturing controls for products whose attributes cannot be precisely defined in order to help ensure safety, purity and potency.</w:t>
      </w:r>
    </w:p>
    <w:p>
      <w:pPr>
        <w:spacing w:after="0" w:line="201"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Additionally, appropriate packaging must be selected and tested, and stability studies must be conducted to demonstrate that the product candidate does not undergo unacceptable deterioration over its shelf life.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Marketing Application Submission and FDA Review</w:t>
      </w:r>
    </w:p>
    <w:p>
      <w:pPr>
        <w:spacing w:after="0" w:line="237"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clinical trials and preclinical studies (along with information relating to the product’s chemistry, manufacturing, controls, or CMC) and the proposed labeling are submitted to the FDA as part of an NDA or BLA, requesting approval to market the product for one or more indications. Data may come from company-sponsored clinical trials or from a number of alternative sources, including studies initiated by investigators. To support marketing approval, the FDA must find the data submitted to be sufficient to establish the safety and efficacy of the investigational drug product, and safety, potency and purity for the investigational biologic product, for its proposed indication. The fee required for the submission of an NDA or BLA under the PDUFA, is substantial (for example, for fiscal year 2026 this application fee is approximately $4.7 million), and the sponsor of an approved NDA or BLA is also subject to an annual program fee, which is currently set at $0.4 million per eligible prescription program. These fees are adjusted annually, but exemptions and waivers may be available under certain circumstances. No user fee is required for orphan drug product applications, except when an application also includes an indication for a non-rare disease or condition.</w:t>
      </w:r>
    </w:p>
    <w:p>
      <w:pPr>
        <w:spacing w:after="0" w:line="206" w:lineRule="exact"/>
        <w:rPr>
          <w:sz w:val="20"/>
          <w:szCs w:val="20"/>
          <w:color w:val="auto"/>
        </w:rPr>
      </w:pPr>
    </w:p>
    <w:p>
      <w:pPr>
        <w:jc w:val="both"/>
        <w:ind w:firstLine="490"/>
        <w:spacing w:after="0" w:line="307" w:lineRule="auto"/>
        <w:rPr>
          <w:sz w:val="20"/>
          <w:szCs w:val="20"/>
          <w:color w:val="auto"/>
        </w:rPr>
      </w:pPr>
      <w:r>
        <w:rPr>
          <w:rFonts w:ascii="Times New Roman" w:cs="Times New Roman" w:eastAsia="Times New Roman" w:hAnsi="Times New Roman"/>
          <w:sz w:val="19"/>
          <w:szCs w:val="19"/>
          <w:color w:val="auto"/>
        </w:rPr>
        <w:t>The FDA conducts a preliminary review of all applications within 60 days of receipt and must inform the sponsor by that time whether an application is sufficiently complete to permit substantive review. In the event that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18" w:right="1440" w:bottom="177"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20"/>
          <w:szCs w:val="20"/>
          <w:color w:val="auto"/>
        </w:rPr>
        <w:t>FDA determines that an application does not satisfy this standard, it will issue a Refuse to File, or RTF, determination to the sponsor. The FDA may request additional information rather than accept an NDA or BLA for filing. In this event, the application must be resubmitted with the additional information. The resubmitted application is also subject to review before the FDA accepts it for filing.</w:t>
      </w:r>
    </w:p>
    <w:p>
      <w:pPr>
        <w:spacing w:after="0" w:line="18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After the submission is accepted for filing, the FDA begins an in-depth substantive review of the application. Under the goals and policies agreed to by the FDA under PDUFA, the FDA has ten months from the filing date (following the 60-day validation period) in which to complete its initial review of a standard application and respond to the applicant and six months from the filing date for an application with “Priority Review”.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20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FDA seeks to meet these timelines for review of an application but its ability to do so may be affected by a variety of factors, including government budget and funding levels, the ability to hire and retain key personnel and statutory, regulatory and policy changes. Average review times at the agency have fluctuated in recent years as a result. For example, during the past decade, the U.S. government has shut down several times and certain regulatory agencies, including the FDA, have had to furlough critical employees and stop critical activities, including the review of both NDAs and BLAs.</w:t>
      </w:r>
    </w:p>
    <w:p>
      <w:pPr>
        <w:spacing w:after="0" w:line="20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Before approving an NDA or BLA, the FDA will typically conduct a pre-approval inspection of the manufacturing facilities for the therapeutic/biologic to determine whether the manufacturing processes and facilities comply with GMPs. The FDA will not approve the product unless it determines that the manufacturing processes and facilities comply with cGMP regulatory requirements and are adequate to ensure consistent production of the product within required specifications. The FDA also may inspect the sponsor and one or more clinical trial sites to ensure compliance with GCP requirements and the integrity of the clinical data submitted to the FDA.</w:t>
      </w:r>
    </w:p>
    <w:p>
      <w:pPr>
        <w:spacing w:after="0" w:line="20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Under certain circumstances, the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19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Additionally, the FDA may refer any NDA or BLA,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The FDA is not bound by the recommendation of an advisory committee, but it considers such recommendations when making final decisions on approval. The FDA also may require submission of a REMS, if it determines that a REMS is necessary to ensure that the benefits of the drug outweigh its risks and to assure the safe use of the drug or biological product. If the FDA concludes that a REMS is needed, the sponsor of the NDA or BLA must submit a proposed REMS and the FDA will not approve the NDA or BLA without a REMS.</w:t>
      </w:r>
    </w:p>
    <w:p>
      <w:pPr>
        <w:spacing w:after="0" w:line="20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Under the Pediatric Research Equity Act of 2003, or PREA, an NDA or a BLA or certain supplements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unless this requirement is waived, deferred or inapplicable. Sponsors must submit a pediatric study plan to the FDA outlining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applicant may request an amendment to the plan at any time. In general, PREA requirements do not apply to drugs or biologics for indications granted Orphan Drug Designation although the FDA has taken steps to limit what is considers abuse of this statutory exemption in the PREA by announcing that is does not intend to grant any additional orphan drug designations for rare pediatric subpopulations of what is otherwise a common disease.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18" w:right="1440" w:bottom="177" w:gutter="0" w:footer="0" w:header="0"/>
        </w:sectPr>
      </w:pPr>
    </w:p>
    <w:bookmarkStart w:id="20" w:name="page21"/>
    <w:bookmarkEnd w:id="20"/>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FDA reviews an NDA or a BLA to determine, among other things, whether a product is safe and effective for its intended use, and whether its manufacturing is cGMP-compliant to ensure and preserve the product’s identity, strength, quality and purity. The approval process is lengthy and often difficult, and the FDA may refuse to approve an NDA or a BLA if the applicable regulatory criteria are not satisfied or may require additional clinical or other data and information. After evaluating the application and all related information (including the advisory committee recommendations, if any) and inspection reports of manufacturing facilities and clinical trial sites, the FDA may issue either an approval letter or a Complete Response Letter, or CRL.</w:t>
      </w:r>
    </w:p>
    <w:p>
      <w:pPr>
        <w:spacing w:after="0" w:line="19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applicant may either resubmit the NDA or BLA addressing all of the deficiencies identified in the letter or withdraw the application. If and when those deficiencies have been addressed to the FDA’s satisfaction in a resubmission of the NDA or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spacing w:after="0" w:line="20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If a product receives regulatory approval from the FDA, the approval is limited to the conditions of use (e.g., patient population, indication) described in the FDA-approved labeling. Further, depending on the specific risk(s) to be addressed, the FDA may require that contraindications, warnings, or precautions be included in the product labeling (including specific safety-related label warnings). The FDA may also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the FDA review and approval.</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Expedited Programs for Serious Conditions</w:t>
      </w:r>
    </w:p>
    <w:p>
      <w:pPr>
        <w:spacing w:after="0" w:line="23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Priority Review Designation and accelerated approval.</w:t>
      </w:r>
    </w:p>
    <w:p>
      <w:pPr>
        <w:spacing w:after="0" w:line="18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also may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Fast Track Designation may be rescinded by the FDA if the designation is no longer supported by data emerging from the clinical trial process. Fast Track Designation does not guarantee product approval.</w:t>
      </w:r>
    </w:p>
    <w:p>
      <w:pPr>
        <w:spacing w:after="0" w:line="202" w:lineRule="exact"/>
        <w:rPr>
          <w:sz w:val="20"/>
          <w:szCs w:val="20"/>
          <w:color w:val="auto"/>
        </w:rPr>
      </w:pPr>
    </w:p>
    <w:p>
      <w:pPr>
        <w:jc w:val="both"/>
        <w:ind w:firstLine="490"/>
        <w:spacing w:after="0" w:line="266" w:lineRule="auto"/>
        <w:rPr>
          <w:sz w:val="20"/>
          <w:szCs w:val="20"/>
          <w:color w:val="auto"/>
        </w:rPr>
      </w:pPr>
      <w:r>
        <w:rPr>
          <w:rFonts w:ascii="Times New Roman" w:cs="Times New Roman" w:eastAsia="Times New Roman" w:hAnsi="Times New Roman"/>
          <w:sz w:val="19"/>
          <w:szCs w:val="19"/>
          <w:color w:val="auto"/>
        </w:rPr>
        <w:t>In addition, a new drug or biological product may be eligible for Breakthrough Therapy Designation if it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Breakthrough Therapy Designation provides all the features of Fast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18" w:right="1440" w:bottom="177" w:gutter="0" w:footer="0" w:header="0"/>
        </w:sectPr>
      </w:pPr>
    </w:p>
    <w:bookmarkStart w:id="21" w:name="page22"/>
    <w:bookmarkEnd w:id="21"/>
    <w:p>
      <w:pPr>
        <w:jc w:val="both"/>
        <w:spacing w:after="0" w:line="249" w:lineRule="auto"/>
        <w:rPr>
          <w:sz w:val="20"/>
          <w:szCs w:val="20"/>
          <w:color w:val="auto"/>
        </w:rPr>
      </w:pPr>
      <w:r>
        <w:rPr>
          <w:rFonts w:ascii="Times New Roman" w:cs="Times New Roman" w:eastAsia="Times New Roman" w:hAnsi="Times New Roman"/>
          <w:sz w:val="20"/>
          <w:szCs w:val="20"/>
          <w:color w:val="auto"/>
        </w:rPr>
        <w:t>Track Designation in addition to intensive guidance on an efficient development program beginning as early as Phase 1, and the FDA organizational commitment to expedited development, including involvement of senior managers and experienced review staff in a cross-disciplinary review, where appropriate. Breakthrough Therapy Designation may be rescinded by the FDA if the designation is no longer supported. Breakthrough Therapy Designation does not guarantee product approval.</w:t>
      </w:r>
    </w:p>
    <w:p>
      <w:pPr>
        <w:spacing w:after="0" w:line="197"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auto"/>
        </w:rPr>
        <w:t>The FDA may designate a product for Priority Review if it is a drug or biologic that treats a serious condition and, if approved, would provide a significant improvement in safety or effectiveness. The FDA determines at the time that the marketing application is submitted, on a case-by-case basis, whether the proposed drug or biologic qualifies for Priority Review. Significant improvement over available therapies may be illustrated, for example,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NDA from the date of filing.</w:t>
      </w:r>
    </w:p>
    <w:p>
      <w:pPr>
        <w:spacing w:after="0" w:line="188"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Fast Track Designation, Breakthrough Therapy Designation and Priority Review do not change the standards for approval and may not ultimately expedite the development or approval process.</w:t>
      </w:r>
    </w:p>
    <w:p>
      <w:pPr>
        <w:spacing w:after="0" w:line="165"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Finally, 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For drugs granted accelerated approval, the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the FDA informs the applicant otherwise.</w:t>
      </w:r>
    </w:p>
    <w:p>
      <w:pPr>
        <w:spacing w:after="0" w:line="20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With the passage of FDORA,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the FDA every six months until the study is completed. Moreover, FDORA established expedited procedures authorizing the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w:t>
      </w:r>
    </w:p>
    <w:p>
      <w:pPr>
        <w:spacing w:after="0" w:line="19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March 2023, the FDA issued draft guidance that outlines its current thinking and approach to accelerated approval. Although single-arm trials have been commonly used to support accelerated approval, a randomized controlled trial is the preferred approach as it provides a more robust efficacy and safety assessment and allows for direct comparisons to an available therapy. Subsequently, in December 2024 and January 2025, the FDA issued additional draft guidance relating to accelerated approval. These guidance describe the FDA’s views on what it means to conduct a confirmatory trial with due diligence and how the agency plans to interpret whether such a study needs to be underway at the time of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18" w:right="1440" w:bottom="177" w:gutter="0" w:footer="0" w:header="0"/>
        </w:sectPr>
      </w:pPr>
    </w:p>
    <w:bookmarkStart w:id="22" w:name="page23"/>
    <w:bookmarkEnd w:id="22"/>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Post Approval Requirements</w:t>
      </w:r>
    </w:p>
    <w:p>
      <w:pPr>
        <w:spacing w:after="0" w:line="237"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Following approval of a new product, the manufacturer and the approved product are subject to pervasive and continuing regulation by the FDA, governing, among other things, manufacturing and quality-related compliance, monitoring and recordkeeping activities, reporting of adverse experiences with the product and product problems to the FDA, product sampling and distribution, manufacturing and promotion and advertising. Although physicians may prescribe legally available products for unapproved uses or patient populations, known as off-label uses, manufacturers may not market or promote such uses. The FDA and other agencies, including state regulatory bodies, actively enforce the laws and regulations prohibiting the promotion of off-label uses, and a company that is found to have improperly promoted off-label uses may be subject to significant liability.</w:t>
      </w:r>
    </w:p>
    <w:p>
      <w:pPr>
        <w:spacing w:after="0" w:line="203"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If there are any modifications to the product, including changes in indications, labeling, or manufacturing processes or facilities, the applicant may be required to submit and obtain the FDA approval of a new NDA or a BLA or an NDA or a BLA supplement, which may require the applicant to develop additional data or conduct additional clinical trials and preclinical studies. The FDA may also place other conditions on approvals including the requirement for a REMS to assure the safe use of the product, which may require substantial commitment of resources post-approval to ensure compliance.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0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FDA regulations require that drug and biological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regulatory requirements and satisfy the FDA or comparable foreign regulatory authorities before any product is approved and our commercial products can be manufactured. In addition, for any of our product candidates that include a device delivery system, the device component will be subject to aspects of the Quality System Regulations (QSRs) applicable to medical devices.</w:t>
      </w:r>
    </w:p>
    <w:p>
      <w:pPr>
        <w:spacing w:after="0" w:line="20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Once an approval of a drug/biologic product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clinical trials requirement to assess new safety risks, or imposition of distribution or other restrictions under a REMS program. Other potential consequences include, among other things:</w:t>
      </w:r>
    </w:p>
    <w:p>
      <w:pPr>
        <w:spacing w:after="0" w:line="94"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58"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safety alerts, Dear Healthcare Provider letters, press releases, or other communications containing warnings or other safety information about a product;</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mandated modification of promotional materials and labeling, and issuance of corrective information;</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fines, warning letters, untitled letters, or other enforcement-related letters or clinical holds on post-approval clinical trials;</w:t>
      </w:r>
    </w:p>
    <w:p>
      <w:pPr>
        <w:spacing w:after="0" w:line="5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refusal of the FDA to approve pending NDAs or BLAs or supplements to approved NDAs or BLAs, or suspension or revocation of product approvals;</w:t>
      </w:r>
    </w:p>
    <w:p>
      <w:pPr>
        <w:spacing w:after="0" w:line="59" w:lineRule="exact"/>
        <w:rPr>
          <w:sz w:val="20"/>
          <w:szCs w:val="20"/>
          <w:color w:val="auto"/>
        </w:rPr>
      </w:pPr>
    </w:p>
    <w:p>
      <w:pPr>
        <w:ind w:left="980" w:right="1840"/>
        <w:spacing w:after="0" w:line="420" w:lineRule="auto"/>
        <w:rPr>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injunctions or the imposition of civil or criminal penalties; and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177" w:gutter="0" w:footer="0" w:header="0"/>
        </w:sectPr>
      </w:pPr>
    </w:p>
    <w:bookmarkStart w:id="23" w:name="page24"/>
    <w:bookmarkEnd w:id="23"/>
    <w:p>
      <w:pPr>
        <w:ind w:left="980"/>
        <w:spacing w:after="0" w:line="259" w:lineRule="auto"/>
        <w:rPr>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 care programs; or mandated modification of promotional materials and labeling and the issuance of corrective information.</w:t>
      </w:r>
    </w:p>
    <w:p>
      <w:pPr>
        <w:spacing w:after="0" w:line="18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FDA strictly regulates the marketing, labeling, advertising and promotion of prescription drug products placed on the market. This regulation includes, among other things, standards and regulations for direct -to-consumer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final regulations that describe the types of evidence that the agency will consider in determining the intended use of a drug or biologic.</w:t>
      </w:r>
    </w:p>
    <w:p>
      <w:pPr>
        <w:spacing w:after="0" w:line="20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(PIE) Act in December 2022, sponsors of products that have not been approved may proactively communicate to payors certain information about products and product candidates in development to help expedite patient access upon product approval. Previously, such communications were permitted under the FDA guidance but the new legislation explicitly provides protection to sponsors who convey certain information about products and product candidates in development to payors, including unapproved uses of approved products.</w:t>
      </w:r>
    </w:p>
    <w:p>
      <w:pPr>
        <w:spacing w:after="0" w:line="20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20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or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20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Additionally, the Drug Supply Chain Security Act, or DSCSA, imposes requirements related to identifying and tracing certain prescription drugs distributed in the U.S., including most biological products. Manufacturers were required by November 2023 to have such systems and processes. So as not to disrupt supply chains, the FDA has granted certain exemptions from enhanced drug distribution security requirements for eligible trading partners for particular periods of time.</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U.S. Patent Term Restoration</w:t>
      </w:r>
    </w:p>
    <w:p>
      <w:pPr>
        <w:spacing w:after="0" w:line="23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Depending upon the timing, duration and specifics of the FDA approval for our product candidates, some of our U.S. patents may be eligible for limited patent term extension under the Drug Price Competition and Patent Term Restoration Act of 1984, commonly referred to as the Hatch-Waxman Amendments. The Hatch-Waxman Amendments permit restoration of the patent term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33" w:right="1440" w:bottom="177" w:gutter="0" w:footer="0" w:header="0"/>
        </w:sectPr>
      </w:pPr>
    </w:p>
    <w:bookmarkStart w:id="24" w:name="page25"/>
    <w:bookmarkEnd w:id="24"/>
    <w:p>
      <w:pPr>
        <w:jc w:val="both"/>
        <w:spacing w:after="0" w:line="247" w:lineRule="auto"/>
        <w:rPr>
          <w:sz w:val="20"/>
          <w:szCs w:val="20"/>
          <w:color w:val="auto"/>
        </w:rPr>
      </w:pPr>
      <w:r>
        <w:rPr>
          <w:rFonts w:ascii="Times New Roman" w:cs="Times New Roman" w:eastAsia="Times New Roman" w:hAnsi="Times New Roman"/>
          <w:sz w:val="20"/>
          <w:szCs w:val="20"/>
          <w:color w:val="auto"/>
        </w:rPr>
        <w:t>product, a method for using it or a method for manufacturing it may be extended. The patent-term restoration period is generally one-half the time between the effective date of an IND and the submission date of an NDA or a BLA, plus the time during which the applicant failed to exercise due diligence.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Generic Drugs and Regulatory Exclusivity for Drug Products</w:t>
      </w:r>
    </w:p>
    <w:p>
      <w:pPr>
        <w:spacing w:after="0" w:line="237"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NDAs for most new drug products are based on two full clinical studies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sponsor to rely, in part, on the FDA’s previous findings of safety and effectiveness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18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 addition,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 sponsor must submit an abbreviated new drug application, or ANDA, to the FDA.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20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Regulatory exclusivity provisions under the FDCA can delay the submission or the approval of 505(b)(2) applications and ANDAs. The FDCA provides a five-year period of regulatory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 505(b)(2) NDA submitted by another company for another version of such drug. However, an application may be submitted after four years if it contains a certification of patent invalidity, non-infringement, or unenforceability for the listed drug.</w:t>
      </w:r>
    </w:p>
    <w:p>
      <w:pPr>
        <w:spacing w:after="0" w:line="20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FDCA also provides three years of regulatory exclusivity for a full NDA, 505(b)(2) NDA, or supplement to an existing NDA if new clinical investigations, other than bioavailability studies, conducted or sponsored by the applicant are deemed by the FDA to be essential to the approval of the application. This three-year exclusivity covers only the conditions of use associated with the new clinical investigations and does not prohibit the FDA from approving competitor products for drugs that fall outside the scope of the exclusivity. Three-year exclusivity will not delay the submission or approval of a full NDA; it delays approval of a 505(b)(2) NDA or an abbreviated new drug applications. or ANDA, covered by the exclusivity, until the exclusivity expires, but not the submission itself.</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Biosimilars and Reference Product Exclusivity for Biological Products</w:t>
      </w:r>
    </w:p>
    <w:p>
      <w:pPr>
        <w:spacing w:after="0" w:line="23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March 2010, the Patient Protection and Affordable Care Act was enacted in the U.S. and included the Biologics Price Competition and Innovation Act of 2009, or BPCIA. The BPCIA amended the PHSA to create an abbreviated approval pathway for biological products that are biosimilar to or interchangeable with an FDA-licensed reference biological product.</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To date, the FDA has approved a number of biosimilars and several interchangeable biosimilar products.</w:t>
      </w:r>
    </w:p>
    <w:p>
      <w:pPr>
        <w:spacing w:after="0" w:line="239" w:lineRule="exact"/>
        <w:rPr>
          <w:sz w:val="20"/>
          <w:szCs w:val="20"/>
          <w:color w:val="auto"/>
        </w:rPr>
      </w:pPr>
    </w:p>
    <w:p>
      <w:pPr>
        <w:jc w:val="both"/>
        <w:ind w:firstLine="490"/>
        <w:spacing w:after="0" w:line="307" w:lineRule="auto"/>
        <w:rPr>
          <w:sz w:val="20"/>
          <w:szCs w:val="20"/>
          <w:color w:val="auto"/>
        </w:rPr>
      </w:pPr>
      <w:r>
        <w:rPr>
          <w:rFonts w:ascii="Times New Roman" w:cs="Times New Roman" w:eastAsia="Times New Roman" w:hAnsi="Times New Roman"/>
          <w:sz w:val="19"/>
          <w:szCs w:val="19"/>
          <w:color w:val="auto"/>
        </w:rPr>
        <w:t>Under the BPCIA, a manufacturer may submit an application for a product that is “biosimilar to” or “interchangeable with” a previously approved biological product or “reference product”. In order for FDA to approve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18" w:right="1440" w:bottom="177" w:gutter="0" w:footer="0" w:header="0"/>
        </w:sectPr>
      </w:pPr>
    </w:p>
    <w:bookmarkStart w:id="25" w:name="page26"/>
    <w:bookmarkEnd w:id="25"/>
    <w:p>
      <w:pPr>
        <w:jc w:val="both"/>
        <w:spacing w:after="0" w:line="247" w:lineRule="auto"/>
        <w:rPr>
          <w:sz w:val="20"/>
          <w:szCs w:val="20"/>
          <w:color w:val="auto"/>
        </w:rPr>
      </w:pPr>
      <w:r>
        <w:rPr>
          <w:rFonts w:ascii="Times New Roman" w:cs="Times New Roman" w:eastAsia="Times New Roman" w:hAnsi="Times New Roman"/>
          <w:sz w:val="20"/>
          <w:szCs w:val="20"/>
          <w:color w:val="auto"/>
        </w:rPr>
        <w:t>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20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biosimilar applicant must demonstrate that the product is biosimilar based on data from analytical studies showing that the biosimilar product is highly similar to the reference product, data from animal studies (including toxicity) and data from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199"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The FDA will not accept an application for a biosimilar or interchangeable product based on the reference biological product until four years after the date of first licensure of the reference product.</w:t>
      </w:r>
    </w:p>
    <w:p>
      <w:pPr>
        <w:spacing w:after="0" w:line="19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BPCIA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9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The FDA maintains a publicly- available online database of licensed biological products, which is commonly referred to as the “Purple Book”. The Purple Book lists product names, dates of licensure, and applicable periods of exclusivity. Further, the reference product sponsor must provide patent information and patent expiry dates to the FDA following the exchange of patent information between biosimilar and reference product sponsors. This information is then published in the Purple Book.</w:t>
      </w:r>
    </w:p>
    <w:p>
      <w:pPr>
        <w:spacing w:after="0" w:line="19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23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Orphan Drug Designation in the U.S. is designed to encourage sponsors to develop products intended for the treatment of rare diseases or conditions. In the U.S., a rare disease or condition is statutorily defined as a condition that affects fewer than 200,000 individuals in the U.S. or that affects more than 200,000 individuals in the U.S. and for which there is no reasonable expectation that the cost of developing and making the product available for the disease or condition will be recovered from sales of the product in the U.S.</w:t>
      </w:r>
    </w:p>
    <w:p>
      <w:pPr>
        <w:spacing w:after="0" w:line="19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Orphan Drug Designation qualifies a company for certain tax credits. Designation does not guarantee approval. In addition, if a product candidate that has Orphan Drug Designation subsequently receives the first FDA approval for that drug for the disease for which it has such designation, the product may receive seven-year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the FDA cannot approve the same product made by another manufacturer for the same indication during the market exclusivity period unless it has the consent of the sponsor, or the sponsor is unable to provide sufficient quantities.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18" w:right="1440" w:bottom="177" w:gutter="0" w:footer="0" w:header="0"/>
        </w:sectPr>
      </w:pPr>
    </w:p>
    <w:bookmarkStart w:id="26" w:name="page27"/>
    <w:bookmarkEnd w:id="26"/>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A sponsor may request Orphan Drug Designation of a previously unapproved product or new orphan indication for an already marketed product. More than one sponsor may receive Orphan Drug Designation for the same product for the same rare disease or condition, but each sponsor seeking Orphan Drug Designation must file a complete orphan disease designation application. To qualify for orphan exclusivity, however, the drug must be clinically superior to the previously approved product that is the same drug for the same condition. If a product designated as an orphan drug ultimately receives marketing approval for an indication broader than what was designated in its orphan drug application, it may not be entitled to exclusivity.</w:t>
      </w:r>
    </w:p>
    <w:p>
      <w:pPr>
        <w:spacing w:after="0" w:line="199"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LTI-01 has been granted Orphan Drug Designation by the FDA and European Medicines Agency, or EMA, for the treatment of pleural empyema. LTI-03 has been granted Orphan Drug Designation by the FDA and EMA for treatment of IPF.</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Pediatric Exclusivity</w:t>
      </w:r>
    </w:p>
    <w:p>
      <w:pPr>
        <w:spacing w:after="0" w:line="23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Pediatric exclusivity is another type of regulatory exclusivity in the U.S. and, if granted, provides for the attachment of an additional six months of regulatory exclusivity. For drug products, the six-month period of exclusivity may be attached to the term of any existing patent or regulatory exclusivity. For biologic products, the six-month period may only be attached to any existing regulatory exclusivities but not to any patent terms. This six-month exclusivity may be granted if an NDA or BLA sponsor submits pediatric data that fairly respond to a written request from the FDA for such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Outside of the U.S.</w:t>
      </w:r>
    </w:p>
    <w:p>
      <w:pPr>
        <w:spacing w:after="0" w:line="241"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In addition to regulations in the U.S., we will be subject to a variety of foreign regulations governing clinical trials and commercial sales and distribution of our products outside of the U.S. Whether or not we obtain the FDA approval for a product candidate, we must obtain approval by the comparable regulatory authorities of foreign countries or economic areas, such as the 27-member EU, before we may commence clinical trials or market products in those countries or areas.</w:t>
      </w:r>
    </w:p>
    <w:p>
      <w:pPr>
        <w:spacing w:after="0" w:line="19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With the exception of the EU or European Economic Area, or EEA, applying the harmonized regulatory rules for medicinal products,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the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European Union Drug Development, Review and Approval</w:t>
      </w:r>
    </w:p>
    <w:p>
      <w:pPr>
        <w:spacing w:after="0" w:line="23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the EU, our product candidates are subject to extensive regulatory requirements. As in the U.S., medicinal products can be marketed only if a marketing authorization from the competent regulatory agencies has been obtained. Similar to the U.S., the various phases of preclinical and clinical research in the EU are subject to significant regulatory controls.</w:t>
      </w:r>
    </w:p>
    <w:p>
      <w:pPr>
        <w:spacing w:after="0" w:line="189"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Clinical Trials Regulation (EU) No 536/2014, which came into application on January 31, 2022, governs the system for the approval of clinical trials in the EU.</w:t>
      </w:r>
    </w:p>
    <w:p>
      <w:pPr>
        <w:spacing w:after="0" w:line="164"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The Clinical Trials Regulation aims to simplify and streamline the approval of clinical trials in the EU.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continues to be governed by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18" w:right="1440" w:bottom="177" w:gutter="0" w:footer="0" w:header="0"/>
        </w:sectPr>
      </w:pPr>
    </w:p>
    <w:bookmarkStart w:id="27" w:name="page28"/>
    <w:bookmarkEnd w:id="27"/>
    <w:p>
      <w:pPr>
        <w:jc w:val="both"/>
        <w:spacing w:after="0" w:line="279" w:lineRule="auto"/>
        <w:rPr>
          <w:sz w:val="20"/>
          <w:szCs w:val="20"/>
          <w:color w:val="auto"/>
        </w:rPr>
      </w:pPr>
      <w:r>
        <w:rPr>
          <w:rFonts w:ascii="Times New Roman" w:cs="Times New Roman" w:eastAsia="Times New Roman" w:hAnsi="Times New Roman"/>
          <w:sz w:val="20"/>
          <w:szCs w:val="20"/>
          <w:color w:val="auto"/>
        </w:rPr>
        <w:t>national law of the concerned EU Member State. However, overall related timelines have been defined by the Clinical Trials Regulation.</w:t>
      </w:r>
    </w:p>
    <w:p>
      <w:pPr>
        <w:spacing w:after="0" w:line="165"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extent to which clinical trials, which were ongoing on January 31, 2022 are governed by the Clinical Trials Regulation depends on the date when the request for authorization of a clinical trial has been submitted and on the duration of the individual clinical trial. Generally, according to the transitional provisions, if the request for authorization of a clinical trial has been submitted before the date of application of the Clinical Trials Regulation (i.e. before January 31, 2022) and the clinical trial continues for more than three years from the day on which the Clinical Trials Regulation becomes applicable (i.e. beyond January 31, 2025), the Clinical Trials Regulation will at that time begin to apply to the clinical trial. Until then the predecessor provisions of the Clinical Trials Directive 2001/20/EC, Directive 2005/28/EC on GCP and the related national implementing provisions of the individual EU Member States apply.</w:t>
      </w:r>
    </w:p>
    <w:p>
      <w:pPr>
        <w:spacing w:after="0" w:line="20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If any of our product candidates that, if used separately, would be considered a medicinal product is incorporated, as an integral part, in a medical device intended to administer the medicinal product, and the action of the medicinal product is principal and not ancillary to that of the device, then the combination product is regulated by Directive 2001/83/EC or Regulation (EC) 726/2004 as a medicinal product. However, the medical device used for administration must satisfy the requirements for its general safety and performance under EU law governing general medical devices.</w:t>
      </w:r>
    </w:p>
    <w:p>
      <w:pPr>
        <w:spacing w:after="0" w:line="20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EU regulatory regime under Directive 93/42/EEC, or the Medical Devices Directive, was replaced by Regulation (EU) 2017/745 on medical devices, or the Medical Devices Regulation as of May 26, 2021, subject to the transitional provisions for medical devices to remain on the EU market for a limited period if they were certified or, if certification was not required, the EU declaration of conformity had been drawn up under the Medical Devices Directive. There are significant changes to the EU regulatory system governing medical devices under the Medical Devices Regulation.</w:t>
      </w:r>
    </w:p>
    <w:p>
      <w:pPr>
        <w:spacing w:after="0" w:line="20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Under the Medical Devices Regulation, data resulting from the conformity assessment relating to the general safety and performance of the medical device that is part of a combination product regulated by Directive 2001/83/EC or Regulation (EC) 726/2004 shall be included in the application for marketing authorization for the combination product. Such information must be provided by the manufacturer of the medical device in its EU declaration of conformity, or the relevant certificate issued by a notified body allowing the medical device manufacturer to affix a European Conformity, or CE mark to the medical device. If the dossier submitted to support the marketing authorization for a combination product within the scope of Directive 2001/83/EC or Regulation (EC) 726/2004 does not include the results of the conformity assessment and where for the conformity assessment of the device, if used separately, the involvement of a notified body is required in accordance with the Medical Devices Regulation, the medicinal products authority such as the EMA can require the applicant for a marketing authorization to provide an opinion on the conformity of the device part with the relevant general safety and performance requirements issued by a designated notified body.</w:t>
      </w:r>
    </w:p>
    <w:p>
      <w:pPr>
        <w:spacing w:after="0" w:line="205"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For marketing authorization applications, or MAA, the law provides for the so-called centralized authorization and authorization procedures in individual EU member states, whereas the Mutual Recognition or Decentralized procedure is mandatory for a product to be authorized in more than one EU member state.</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Centralized Procedure</w:t>
      </w:r>
    </w:p>
    <w:p>
      <w:pPr>
        <w:spacing w:after="0" w:line="238"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The centralized procedure provides for the grant of a single marketing authorization following a favorable opinion by the EMA that is valid in all EU Member States, as well as Iceland, Liechtenstein and Norway, which are part of the EEA. The centralized procedure is compulsory for medicines produced by specified biotechnological processes, products designated as orphan medicinal products, advanced- therapy medicines (such as gene-therapy, somatic cell- therapy or tissue-engineered medicines) and products with a new active substance indicated for the treatment of specified diseases, such as HIV/ 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18" w:right="1440" w:bottom="177"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20"/>
          <w:szCs w:val="20"/>
          <w:color w:val="auto"/>
        </w:rPr>
        <w:t>response to questions asked by the Committee for Medicinal Products for Human Use, or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National Authorization Procedures</w:t>
      </w:r>
    </w:p>
    <w:p>
      <w:pPr>
        <w:spacing w:after="0" w:line="238"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There are also two other possible routes to authorize medicinal products in several EU countries, which are available for medicinal products that fall outside the scope of the centralized procedure:</w:t>
      </w:r>
    </w:p>
    <w:p>
      <w:pPr>
        <w:spacing w:after="0" w:line="57" w:lineRule="exact"/>
        <w:rPr>
          <w:sz w:val="20"/>
          <w:szCs w:val="20"/>
          <w:color w:val="auto"/>
        </w:rPr>
      </w:pPr>
    </w:p>
    <w:p>
      <w:pPr>
        <w:ind w:left="980"/>
        <w:spacing w:after="0" w:line="250" w:lineRule="auto"/>
        <w:rPr>
          <w:sz w:val="20"/>
          <w:szCs w:val="20"/>
          <w:color w:val="auto"/>
        </w:rPr>
      </w:pPr>
      <w:r>
        <w:rPr>
          <w:rFonts w:ascii="Times New Roman" w:cs="Times New Roman" w:eastAsia="Times New Roman" w:hAnsi="Times New Roman"/>
          <w:sz w:val="20"/>
          <w:szCs w:val="20"/>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 The applicant may choose a member state as the reference member State to lead the scientific evaluation of the application.</w:t>
      </w:r>
    </w:p>
    <w:p>
      <w:pPr>
        <w:spacing w:after="0" w:line="86" w:lineRule="exact"/>
        <w:rPr>
          <w:sz w:val="20"/>
          <w:szCs w:val="20"/>
          <w:color w:val="auto"/>
        </w:rPr>
      </w:pPr>
    </w:p>
    <w:p>
      <w:pPr>
        <w:ind w:left="980"/>
        <w:spacing w:after="0" w:line="250" w:lineRule="auto"/>
        <w:rPr>
          <w:sz w:val="20"/>
          <w:szCs w:val="20"/>
          <w:color w:val="auto"/>
        </w:rPr>
      </w:pPr>
      <w:r>
        <w:rPr>
          <w:rFonts w:ascii="Times New Roman" w:cs="Times New Roman" w:eastAsia="Times New Roman" w:hAnsi="Times New Roman"/>
          <w:sz w:val="20"/>
          <w:szCs w:val="20"/>
          <w:color w:val="auto"/>
        </w:rPr>
        <w:t>Mutual recognition procedure. In the mutual recognition procedure, a medicine is first authorized in one EU Member State (which acts as the reference member state), in accordance with the national procedures of that country. Following this, further marketing authorizations can be progressively sought from other EU countries in a procedure whereby the countries concerned agree to recognize the validity of the original, national marketing authorization produced by the reference member state.</w:t>
      </w:r>
    </w:p>
    <w:p>
      <w:pPr>
        <w:spacing w:after="0" w:line="193"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Under the above-described procedures, before granting the marketing authorization, the competent authorities of the EU Member States have 90 days to review the assessment report rendered by the reference member state. Approval of the assessment report may be only denied for the reason of potential serious risk for public health. In case of diverging views among the member states, a coordination procedure at EU level applies, leading ultimately to a uniform decision binding on the member states.</w:t>
      </w:r>
    </w:p>
    <w:p>
      <w:pPr>
        <w:spacing w:after="0" w:line="197"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On April 26, 2023, the European Commission presented a draft for a comprehensive reform of the pharmaceutical legislation. The so -called “EU pharmaceutical package” does not intend to change the existing procedures currently in place at EU level: Medicinal products are still to be approved in the decentralized procedure, mutual recognition procedure, or centralized procedure. However, the duration of authorization procedures is generally to be reduced. The decisive factor for the reduction of the duration of the procedure under the decentralized procedure and the mutual recognition procedure is the reduction of the period of cooperation of the EU member states. In regards of the centralized procedure, the shortening of the overall duration results from the accumulation of several small reductions in time.</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Conditional Marketing Authorization</w:t>
      </w:r>
    </w:p>
    <w:p>
      <w:pPr>
        <w:spacing w:after="0" w:line="23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 specific circumstances, EU legislation enables applicants to obtain a conditional marketing authorization prior to obtaining the comprehensive clinical data required for an application for a full marketing authorization. The legal basis is Article 14 -a of Regulation (EC) No. 726/2004. The provisions for granting a conditional marketing authorization are further elaborated in Regulation (EC) No. 507/2006. Such conditional approvals may be granted for product candidates (including medicines designated as orphan medicinal products) if the benefit-risk balance of the medicine is positive; it is likely that the applicant will be able to provide comprehensive data post-authorization; the medicine fulfils an unmet medical need; and the benefit of the medicine’s immediate availability to patients is greater than the risk inherent in the fact that additional data are still required.</w:t>
      </w:r>
    </w:p>
    <w:p>
      <w:pPr>
        <w:spacing w:after="0" w:line="20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 In a public health emergency, the conditional marketing authorization procedure can also be combined with a rolling review of data during the development of a promising medicine, to further expedite the evaluation.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18" w:right="1440" w:bottom="177" w:gutter="0" w:footer="0" w:header="0"/>
        </w:sectPr>
      </w:pPr>
    </w:p>
    <w:bookmarkStart w:id="29" w:name="page30"/>
    <w:bookmarkEnd w:id="29"/>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European Union Regulatory Data Exclusivity</w:t>
      </w:r>
    </w:p>
    <w:p>
      <w:pPr>
        <w:spacing w:after="0" w:line="237"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In the EU, new products authorized for marketing (i.e.,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8"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The planned EU pharmaceutical package mentioned above foresees that pharmaceutical companies are given the opportunity to receive a period of protection of up to twelve (12) years (as opposed to the maximum of 11 years currently possible) by achieving certain public health objectives which are as follows:</w:t>
      </w:r>
    </w:p>
    <w:p>
      <w:pPr>
        <w:spacing w:after="0" w:line="7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two (2) years extension if a pharmaceutical is placed on the market by a company in all Member States within two years, or within three years for companies with limited experience in the EU system;</w:t>
      </w:r>
    </w:p>
    <w:p>
      <w:pPr>
        <w:spacing w:after="0" w:line="58" w:lineRule="exact"/>
        <w:rPr>
          <w:sz w:val="20"/>
          <w:szCs w:val="20"/>
          <w:color w:val="auto"/>
        </w:rPr>
      </w:pPr>
    </w:p>
    <w:p>
      <w:pPr>
        <w:ind w:left="980" w:right="1920"/>
        <w:spacing w:after="0" w:line="380" w:lineRule="auto"/>
        <w:rPr>
          <w:sz w:val="20"/>
          <w:szCs w:val="20"/>
          <w:color w:val="auto"/>
        </w:rPr>
      </w:pPr>
      <w:r>
        <w:rPr>
          <w:rFonts w:ascii="Times New Roman" w:cs="Times New Roman" w:eastAsia="Times New Roman" w:hAnsi="Times New Roman"/>
          <w:sz w:val="20"/>
          <w:szCs w:val="20"/>
          <w:color w:val="auto"/>
        </w:rPr>
        <w:t>six (6) months extension if the medicinal product covers an unmet medical need; six (6) months extension if comparative clinical trials are conducted; and</w:t>
      </w:r>
    </w:p>
    <w:p>
      <w:pPr>
        <w:ind w:left="980"/>
        <w:spacing w:after="0" w:line="280" w:lineRule="auto"/>
        <w:rPr>
          <w:sz w:val="20"/>
          <w:szCs w:val="20"/>
          <w:color w:val="auto"/>
        </w:rPr>
      </w:pPr>
      <w:r>
        <w:rPr>
          <w:rFonts w:ascii="Times New Roman" w:cs="Times New Roman" w:eastAsia="Times New Roman" w:hAnsi="Times New Roman"/>
          <w:sz w:val="20"/>
          <w:szCs w:val="20"/>
          <w:color w:val="auto"/>
        </w:rPr>
        <w:t>one (1) year extension if a new indication is authorized for the medicinal product within the protection period, provided that a significant benefit can be achieved in comparison with existing therapies.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European Union Orphan Designation and Exclusivity</w:t>
      </w:r>
    </w:p>
    <w:p>
      <w:pPr>
        <w:spacing w:after="0" w:line="23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criteria for designating an orphan medicinal product in the EU are similar in principle to those in the U.S. Under Article 3 of Regulation (EC) 141/2000, a medicinal product may be designated as orphan if (1) it is intended for the diagnosis, prevention or treatment of a life- 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term ‘significant benefit’ is defined in Regulation (EC) 847/2000 to mean a clinically relevant advantage or a major contribution to patient care.</w:t>
      </w:r>
    </w:p>
    <w:p>
      <w:pPr>
        <w:spacing w:after="0" w:line="20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Orphan medicinal products are eligible for financial incentives such as reduction of fees or fee waivers and are, upon grant of a marketing authorization, entitled to ten years of market exclusivity for the approved therapeutic indication. During this ten-year market exclusivity period, the EMA or the competent authorities of the Member States of the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This is determined by the molecular structure, the mechanism of action and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205"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The ten-year market exclusivity in the EU may be reduced to six years if, at the end of the fifth year, it is established that the product no longer meets the criteria for orphan designation, for example, if the product is sufficiently profitable not to justify maintenance of market exclusivity. On the other hand, orphan market exclusivity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0" w:right="1440" w:bottom="177"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can be extended to a maximum of twelve years if an approved pediatric investigation plan (PIP) has been completed.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Furthermore, marketing authorization may be granted to a similar product for the same indication at any time if:</w:t>
      </w:r>
    </w:p>
    <w:p>
      <w:pPr>
        <w:spacing w:after="0" w:line="12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second applicant can establish that its product, although similar, is safer, more effective or otherwise clinically superior;</w:t>
      </w:r>
    </w:p>
    <w:p>
      <w:pPr>
        <w:spacing w:after="0" w:line="57" w:lineRule="exact"/>
        <w:rPr>
          <w:sz w:val="20"/>
          <w:szCs w:val="20"/>
          <w:color w:val="auto"/>
        </w:rPr>
      </w:pPr>
    </w:p>
    <w:p>
      <w:pPr>
        <w:ind w:left="980" w:right="2340"/>
        <w:spacing w:after="0" w:line="420" w:lineRule="auto"/>
        <w:rPr>
          <w:sz w:val="20"/>
          <w:szCs w:val="20"/>
          <w:color w:val="auto"/>
        </w:rPr>
      </w:pPr>
      <w:r>
        <w:rPr>
          <w:rFonts w:ascii="Times New Roman" w:cs="Times New Roman" w:eastAsia="Times New Roman" w:hAnsi="Times New Roman"/>
          <w:sz w:val="20"/>
          <w:szCs w:val="20"/>
          <w:color w:val="auto"/>
        </w:rPr>
        <w:t>the applicant consents to a second orphan medicinal product application; or the applicant cannot supply enough orphan medicinal product.</w:t>
      </w:r>
    </w:p>
    <w:p>
      <w:pPr>
        <w:spacing w:after="0" w:line="2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planned EU pharmaceutical package mentioned above provides, among others, for a new regulation to replace Regulation (EC) No. 141/2000 on orphan medicinal products. The draft regulation introduces the possibility of establishing new designation criteria by the EMA and the restriction of designation as an orphan drug to generally seven years. The draft regulation also provides for more flexible rules on the duration of market exclusivity, including: ten years of market exclusivity for orphan drugs in the case of "high unmet medical need", five years for orphan drugs, approved by a bibliographic marketing authorization and nine years in all other cases with the possibility of extension in the case of market access in all Member States (another year) or development of new therapeutic indications for an already authorized orphan medicinal product (up to two years). Market exclusivity can thus add up to a maximum of thirteen years, whereas today it is still capped at ten years. It should be noted that the market exclusivity right of the orphan medicinal product does not prevent the submission, validation and assessment of an application for marketing authorization of a similar medicinal product, including generics and biosimilars, if the remaining duration of the market exclusivity right is less than two years. The EU pharmaceutical package is still at an early stage of the legislative process. It may still undergo substantial changes and is expected to turn into binding law in several years’ time.</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Periods of Authorization and Renewals</w:t>
      </w:r>
    </w:p>
    <w:p>
      <w:pPr>
        <w:spacing w:after="0" w:line="237"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 -year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20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In future, under the planned EU pharmaceutical package mentioned above, pharmaceutical marketing authorizations are to be valid for an unlimited period, although a limitation of the duration to five years shall be possible in certain cases. The so-called sunset provision will be abolished.</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Brexit and the Regulatory Framework in the United Kingdom</w:t>
      </w:r>
    </w:p>
    <w:p>
      <w:pPr>
        <w:spacing w:after="0" w:line="237"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UK’s withdrawal from the EU, commonly referred to as Brexit, took place on January 31, 2020. The EU and the UK reached an agreement on their new partnership in the Trade and Cooperation Agreement, which entered into force on May 1, 2021. As of January 1, 2021, the Medicines and Healthcare Products Regulatory Agency, or MHRA, became responsible for supervising medicines and medical devices in Great Britain, comprising England, Scotland and Wales under domestic law, whereas Northern Ireland continues to be subject to EU rules under the Northern Ireland Protocol, as amended by the so called Windsor Framework agreed in February 2023. As of January 1, 2025, the changes introduced by the Windsor Framework resulted in the MHRA being responsible for approving all medicinal products destined for the United Kingdom market (Great Britain and Northern Ireland), and the EMA will no longer have any role in approving medicinal products destined for Northern Ireland. The MHRA relies on the Human Medicines Regulations 2012 (SI 2012/1916) (as amended), or HMR, as the basis for regulating medicines. The HMR has incorporated into the domestic law the body of EU law instruments governing medicinal products that pre-existed prior to the UK’s withdrawal from the EU.</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18" w:right="1440" w:bottom="177" w:gutter="0" w:footer="0" w:header="0"/>
        </w:sectPr>
      </w:pPr>
    </w:p>
    <w:bookmarkStart w:id="31" w:name="page32"/>
    <w:bookmarkEnd w:id="31"/>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As of January 1, 2024 on,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U.S.). The RR assessment must have undergone a full and standalone review. RR assessments based on reliance or recognition cannot be used to support an IRP application. A CHMP positive opinion or a mutual recognition and decentralized procedure, or MRDC, positive end of procedure outcome is an RR authorization for the purposes of IRP.</w:t>
      </w:r>
    </w:p>
    <w:p>
      <w:pPr>
        <w:spacing w:after="0" w:line="201"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As with other issues related to withdrawal of the UK from the EU, there are open questions about how personal data will be protected in the UK and whether personal information can transfer from the European Union to the United Kingdom. Following the withdrawal of the UK from the EU, the UK Data Protection Act 2018 applies to the processing of personal data that takes place in the UK and includes parallel obligations to those set forth by the EU General Data Protection Regulation, or GDPR. While the Data Protection Act 2018 in the UK that implements and complements the GDPR achieved Royal Assent in May 2018 and is now effective in the UK, it is still unclear whether transfer of data from the EEA to the UK will remain lawful under the GDPR. The UK government has already determined that it considers all EU and EEA member states to be adequate for the purposes of data protection, ensuring that data flows from the UK to the EU and EEA remain unaffected. In addition, a recent decision from the European Commission appears to deem the United Kingdom as being “essentially adequate” for purposes of data transfer from the EU to the UK, although this decision may be re-evaluated in the future.</w:t>
      </w: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Rest of the World Regulation</w:t>
      </w:r>
    </w:p>
    <w:p>
      <w:pPr>
        <w:spacing w:after="0" w:line="23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For other countries outside of the EU, UK and the U.S., such as countries in Eastern Europe, Latin America or Asia,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w:t>
      </w:r>
    </w:p>
    <w:p>
      <w:pPr>
        <w:spacing w:after="0" w:line="197"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Coverage, Pricing and Reimbursement</w:t>
      </w:r>
    </w:p>
    <w:p>
      <w:pPr>
        <w:spacing w:after="0" w:line="242" w:lineRule="exact"/>
        <w:rPr>
          <w:sz w:val="20"/>
          <w:szCs w:val="20"/>
          <w:color w:val="auto"/>
        </w:rPr>
      </w:pPr>
    </w:p>
    <w:p>
      <w:pPr>
        <w:jc w:val="both"/>
        <w:ind w:firstLine="490"/>
        <w:spacing w:after="0" w:line="306" w:lineRule="auto"/>
        <w:rPr>
          <w:sz w:val="20"/>
          <w:szCs w:val="20"/>
          <w:color w:val="auto"/>
        </w:rPr>
      </w:pPr>
      <w:r>
        <w:rPr>
          <w:rFonts w:ascii="Times New Roman" w:cs="Times New Roman" w:eastAsia="Times New Roman" w:hAnsi="Times New Roman"/>
          <w:sz w:val="19"/>
          <w:szCs w:val="19"/>
          <w:color w:val="auto"/>
        </w:rPr>
        <w:t>Sales of any biopharmaceutical products, if and when approved by the FDA or analogous authorities outside the U.S., will depend in significant part on the availability of third-party coverage and reimbursement for the products.</w:t>
      </w:r>
    </w:p>
    <w:p>
      <w:pPr>
        <w:spacing w:after="0" w:line="142"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In the U.S., third-party payors include government healthcare programs such as Medicare and Medicaid, private health insurers, managed care plans and other organizations. These third-party payors are increasingly challenging the price and examining the cost-effectiveness of medical products and services, including biopharmaceutical products. Significant uncertainty exists regarding coverage and reimbursement for newly approved healthcare products. Coverage does not ensure reimbursement. It is time consuming and expensive to seek coverage and reimbursement from third-party payors. We may need to conduct expensive pharmacoeconomic studies to demonstrate the medical necessity and cost-effectiveness of our products, in addition to the costs required to obtain the FDA regulatory approvals. Third-party payors may take into account clinical practice guidelines in determining coverage and there may be significant delays before our products are addressed by such guidelines and we cannot predict what position such guidelines would take with respect to our products if and when addressed. Third-party payors may limit coverage to specific products on an approved list, or formulary, which might not include all of the approved products for a particular indication, or utilize other mechanisms to manage utilization (such as requiring prior authorization for coverage for a product for use in a particular patient). Limits on coverage may impact demand for our products. Even if coverage is obtained, third- party reimbursement may not be adequate to allow us to sell our products on a competitive and profitable basis. As result, we may not be sufficient to maintain price levels high enough to realize an appropriate return on investment in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18" w:right="1440" w:bottom="177" w:gutter="0" w:footer="0" w:header="0"/>
        </w:sectPr>
      </w:pPr>
    </w:p>
    <w:bookmarkStart w:id="32" w:name="page33"/>
    <w:bookmarkEnd w:id="32"/>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addition, in some foreign countries, the proposed pricing for a drug must be approved before it may be lawfully marketed. The requirements governing drug pricing vary widely from country to country. Some countries provide that drug products may be marketed only after a reimbursement price has been agreed. Some countries may require the completion of additional studies that compare the cost-effectiveness of our product candidate to currently available therapies (so called health technology assessment, or HTA) in order to obtain reimbursement or pricing approval. For example, subject to the requirements set out in Directive 89/105/EEC relating to the transparency of measures regulating the pricing of medicinal products for human use and their inclusion in the scope of national health insurance systems, EU Member States have the legal competence to set national measures of an economic nature on the marketing of medicinal products in order to control public health expenditure on such products. Accordingly, EU Member States can restrict the range of medicinal products for which their national health insurance systems provide reimbursement and to control the prices of medicinal products for human use.</w:t>
      </w:r>
    </w:p>
    <w:p>
      <w:pPr>
        <w:spacing w:after="0" w:line="208"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auto"/>
        </w:rPr>
        <w:t>On December 13, 2021, a new Regulation on HTA was adopted by the EU. It entered into force in January 2022 and will become fully applicable in January 2025. The regulation provides for a coordinated approach to assessing the benefit of new therapies, which assessment will take place in parallel to the EU regulatory approval process. The objectives of the EU HTA regulation are to accelerate patient access to new therapies and reduce duplication of work. The impact of the new legislation on market access, pricing and reimbursement of new medicinal products in the individual EU countries cannot be predicted yet. An EU Member State may approve a specific price for the medicinal product or it may instead adopt a system of direct or indirect controls on the profitability of the company placing the medicinal product on the market. Other EU Member States allow companies to fix their own prices for drug products but monitor and control prescription volumes and issue guidance to physicians to limit prescriptions.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significantly lower.</w:t>
      </w:r>
    </w:p>
    <w:p>
      <w:pPr>
        <w:spacing w:after="0" w:line="19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downward pressure on health care costs in general, particularly prescription drugs, has become intense. As a result, increasingly high barriers are being erected to the entry of new products.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import or distribution (arbitrage between low-priced and high-priced member states) can further reduce prices. Any country that has price controls or reimbursement limitations for drug products may not allow favorable reimbursement and pricing arrangements.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U.S. Health Care Laws and Regulations</w:t>
      </w:r>
    </w:p>
    <w:p>
      <w:pPr>
        <w:spacing w:after="0" w:line="241"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In the U.S., biopharmaceutical manufacturers and their products are subject to extensive regulation at the federal and state level, such as laws intended to prevent fraud and abuse in the healthcare industry. These laws, some of which will apply only if and when we have an approved product, include:</w:t>
      </w:r>
    </w:p>
    <w:p>
      <w:pPr>
        <w:spacing w:after="0" w:line="77" w:lineRule="exact"/>
        <w:rPr>
          <w:sz w:val="20"/>
          <w:szCs w:val="20"/>
          <w:color w:val="auto"/>
        </w:rPr>
      </w:pPr>
    </w:p>
    <w:p>
      <w:pPr>
        <w:jc w:val="right"/>
        <w:ind w:left="980"/>
        <w:spacing w:after="0" w:line="280" w:lineRule="auto"/>
        <w:rPr>
          <w:sz w:val="20"/>
          <w:szCs w:val="20"/>
          <w:color w:val="auto"/>
        </w:rPr>
      </w:pPr>
      <w:r>
        <w:rPr>
          <w:rFonts w:ascii="Times New Roman" w:cs="Times New Roman" w:eastAsia="Times New Roman" w:hAnsi="Times New Roman"/>
          <w:sz w:val="19"/>
          <w:szCs w:val="19"/>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59"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85"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7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FDCA, which among other things, strictly regulates drug marketing, prohibits manufacturers from marketing such products prior to approval or for off-label use and regulates the distribution of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18" w:right="1440" w:bottom="177" w:gutter="0" w:footer="0" w:header="0"/>
        </w:sectPr>
      </w:pPr>
    </w:p>
    <w:bookmarkStart w:id="33" w:name="page34"/>
    <w:bookmarkEnd w:id="33"/>
    <w:p>
      <w:pPr>
        <w:ind w:left="980"/>
        <w:spacing w:after="0" w:line="259" w:lineRule="auto"/>
        <w:rPr>
          <w:sz w:val="20"/>
          <w:szCs w:val="20"/>
          <w:color w:val="auto"/>
        </w:rPr>
      </w:pPr>
      <w:r>
        <w:rPr>
          <w:rFonts w:ascii="Times New Roman" w:cs="Times New Roman" w:eastAsia="Times New Roman" w:hAnsi="Times New Roman"/>
          <w:sz w:val="20"/>
          <w:szCs w:val="20"/>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9" w:lineRule="exact"/>
        <w:rPr>
          <w:sz w:val="20"/>
          <w:szCs w:val="20"/>
          <w:color w:val="auto"/>
        </w:rPr>
      </w:pPr>
    </w:p>
    <w:p>
      <w:pPr>
        <w:ind w:left="980"/>
        <w:spacing w:after="0" w:line="249" w:lineRule="auto"/>
        <w:rPr>
          <w:sz w:val="20"/>
          <w:szCs w:val="20"/>
          <w:color w:val="auto"/>
        </w:rPr>
      </w:pPr>
      <w:r>
        <w:rPr>
          <w:rFonts w:ascii="Times New Roman" w:cs="Times New Roman" w:eastAsia="Times New Roman" w:hAnsi="Times New Roman"/>
          <w:sz w:val="20"/>
          <w:szCs w:val="20"/>
          <w:color w:val="auto"/>
        </w:rPr>
        <w:t>federal Open Payments (or federal “sunshine” law),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90"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w:t>
      </w:r>
    </w:p>
    <w:p>
      <w:pPr>
        <w:spacing w:after="0" w:line="59" w:lineRule="exact"/>
        <w:rPr>
          <w:sz w:val="20"/>
          <w:szCs w:val="20"/>
          <w:color w:val="auto"/>
        </w:rPr>
      </w:pPr>
    </w:p>
    <w:p>
      <w:pPr>
        <w:ind w:left="980"/>
        <w:spacing w:after="0" w:line="246" w:lineRule="auto"/>
        <w:rPr>
          <w:sz w:val="20"/>
          <w:szCs w:val="20"/>
          <w:color w:val="auto"/>
        </w:rPr>
      </w:pPr>
      <w:r>
        <w:rPr>
          <w:rFonts w:ascii="Times New Roman" w:cs="Times New Roman" w:eastAsia="Times New Roman" w:hAnsi="Times New Roman"/>
          <w:sz w:val="20"/>
          <w:szCs w:val="20"/>
          <w:color w:val="auto"/>
        </w:rPr>
        <w:t>analogous state laws and regulations, including: state anti-kickback and false claims laws; state laws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 state laws governing privacy, security and breaches of health information in certain circumstances, many of which differ from each other in significant ways and often are not preempted by HIPAA, thus complicating compliance efforts;</w:t>
      </w:r>
    </w:p>
    <w:p>
      <w:pPr>
        <w:spacing w:after="0" w:line="94" w:lineRule="exact"/>
        <w:rPr>
          <w:sz w:val="20"/>
          <w:szCs w:val="20"/>
          <w:color w:val="auto"/>
        </w:rPr>
      </w:pPr>
    </w:p>
    <w:p>
      <w:pPr>
        <w:ind w:left="980"/>
        <w:spacing w:after="0" w:line="249" w:lineRule="auto"/>
        <w:rPr>
          <w:sz w:val="20"/>
          <w:szCs w:val="20"/>
          <w:color w:val="auto"/>
        </w:rPr>
      </w:pPr>
      <w:r>
        <w:rPr>
          <w:rFonts w:ascii="Times New Roman" w:cs="Times New Roman" w:eastAsia="Times New Roman" w:hAnsi="Times New Roman"/>
          <w:sz w:val="20"/>
          <w:szCs w:val="20"/>
          <w:color w:val="auto"/>
        </w:rPr>
        <w:t>the Travel Act of 1961, which has been used as a tool in the health care context to target kickback schemes involving private insurance that would not otherwise be prohibited under the anti-kickback statute, makes it unlawful for a facility to use interstate commerce with the intent, among other things, to distribute proceeds of “unlawful activity” and thereafter do some act to further such distribution (“unlawful activity” includes bribery under the state law in which the activity was committed); and</w:t>
      </w:r>
    </w:p>
    <w:p>
      <w:pPr>
        <w:spacing w:after="0" w:line="90" w:lineRule="exact"/>
        <w:rPr>
          <w:sz w:val="20"/>
          <w:szCs w:val="20"/>
          <w:color w:val="auto"/>
        </w:rPr>
      </w:pPr>
    </w:p>
    <w:p>
      <w:pPr>
        <w:ind w:left="980"/>
        <w:spacing w:after="0" w:line="247" w:lineRule="auto"/>
        <w:rPr>
          <w:sz w:val="20"/>
          <w:szCs w:val="20"/>
          <w:color w:val="auto"/>
        </w:rPr>
      </w:pPr>
      <w:r>
        <w:rPr>
          <w:rFonts w:ascii="Times New Roman" w:cs="Times New Roman" w:eastAsia="Times New Roman" w:hAnsi="Times New Roman"/>
          <w:sz w:val="20"/>
          <w:szCs w:val="20"/>
          <w:color w:val="auto"/>
        </w:rPr>
        <w:t>laws and regulations prohibiting bribery and corruption, such as the U.S. Foreign Corrupt Practices Act or the FCPA, which, among other things, prohibits U.S. companies and their employees and agents from authorizing, promising, offering, or providing, directly or indirectly, corrupt or improper payments or anything else of value to foreign government officials, employees of public international organizations or foreign government-owned or affiliated entities, candidates for foreign public office, and foreign political parties or officials thereof.</w:t>
      </w:r>
    </w:p>
    <w:p>
      <w:pPr>
        <w:spacing w:after="0" w:line="20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Violations of these laws are punishable by criminal and/or civil sanctions, including, in some instances, exclusion from participation in federal and state health care programs, such as Medicare and Medicaid. Ensuring compliance is time consuming and costly.</w:t>
      </w:r>
    </w:p>
    <w:p>
      <w:pPr>
        <w:spacing w:after="0" w:line="185"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Similar healthcare laws and regulations exist in the EU and other jurisdictions, including reporting requirements detailing interactions with and payments to healthcare providers and laws governing the privacy and security of personal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 Care Reform in the U.S.</w:t>
      </w:r>
    </w:p>
    <w:p>
      <w:pPr>
        <w:spacing w:after="0" w:line="24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containment of health care costs has also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206"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 In March 2010, President Obama signed into law the Affordable Care Act (ACA). In addition, other legislative changes have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33" w:right="1440" w:bottom="177"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20"/>
          <w:szCs w:val="20"/>
          <w:color w:val="auto"/>
        </w:rPr>
        <w:t>been proposed and adopted since the ACA was enacted. In August 2011, the Budget Control Act of 2011, among other things, created measures for spending reductions by Congress including aggregate reductions to Medicare payments to providers of up to 2% per fiscal year, which went into effect in April 2013 and will remain in effect through 2031.</w:t>
      </w:r>
    </w:p>
    <w:p>
      <w:pPr>
        <w:spacing w:after="0" w:line="18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The Consolidated Appropriations Act, which was signed into law by President Biden in December 2022, made several changes to sequestration of the Medicare program. Section 1001 of the Consolidated Appropriations Act delays the 4% Statutory Pay-As-You-Go Act of 2010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20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Since enactment of the ACA, there have been, and continue to be, numerous legal challenges and Congressional actions to repeal and replace provisions of the law. For example, with enactment of the Tax Cuts and Jobs Act of 2017 (TCJA), which was signed by President Trump on December 22, 2017, Congress repealed the “individual mandate”. The repeal of this provision, which requires most Americans to carry a minimal level of health insurance, became effective in 2019. On June 17, 2021, the U.S. Supreme Court dismissed a judicial challenge to the ACA brought by several states without specifically ruling on the constitutionality of the ACA. Thus, the ACA will remain in effect in its current form. The nature and scope of health care reform in the second Trump administration remains uncertain but early actions suggest that efforts to undermine the ACA will be renewed and litigation and legislation over the ACA are likely to continue, with unpredictable and uncertain results.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Pharmaceutical Price Reform</w:t>
      </w:r>
    </w:p>
    <w:p>
      <w:pPr>
        <w:spacing w:after="0" w:line="23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97"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addition, in October 2020,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Seven states (Colorado, Florida, Maine, New Hampshire, New Mexico, Texas and Vermont) have passed laws allowing for the importation of products from Canada. North Dakota  and Virginia  have passed legislation establishing workgroups to examine the impact of a state importation program. As of May 2024, five states (Colorado, Florida, Maine, New Hampshire and New Mexico) had submitted Section 804 Importation Program proposals to the FDA.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the FDA standards.</w:t>
      </w:r>
    </w:p>
    <w:p>
      <w:pPr>
        <w:spacing w:after="0" w:line="202" w:lineRule="exact"/>
        <w:rPr>
          <w:sz w:val="20"/>
          <w:szCs w:val="20"/>
          <w:color w:val="auto"/>
        </w:rPr>
      </w:pPr>
    </w:p>
    <w:p>
      <w:pPr>
        <w:jc w:val="both"/>
        <w:ind w:firstLine="490"/>
        <w:spacing w:after="0" w:line="266" w:lineRule="auto"/>
        <w:rPr>
          <w:sz w:val="20"/>
          <w:szCs w:val="20"/>
          <w:color w:val="auto"/>
        </w:rPr>
      </w:pPr>
      <w:r>
        <w:rPr>
          <w:rFonts w:ascii="Times New Roman" w:cs="Times New Roman" w:eastAsia="Times New Roman" w:hAnsi="Times New Roman"/>
          <w:sz w:val="19"/>
          <w:szCs w:val="19"/>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18" w:right="1440" w:bottom="177" w:gutter="0" w:footer="0" w:header="0"/>
        </w:sectPr>
      </w:pPr>
    </w:p>
    <w:bookmarkStart w:id="35" w:name="page36"/>
    <w:bookmarkEnd w:id="35"/>
    <w:p>
      <w:pPr>
        <w:jc w:val="both"/>
        <w:spacing w:after="0" w:line="279" w:lineRule="auto"/>
        <w:rPr>
          <w:sz w:val="20"/>
          <w:szCs w:val="20"/>
          <w:color w:val="auto"/>
        </w:rPr>
      </w:pPr>
      <w:r>
        <w:rPr>
          <w:rFonts w:ascii="Times New Roman" w:cs="Times New Roman" w:eastAsia="Times New Roman" w:hAnsi="Times New Roman"/>
          <w:sz w:val="20"/>
          <w:szCs w:val="20"/>
          <w:color w:val="auto"/>
        </w:rPr>
        <w:t>were delayed and recent legislation imposed a moratorium on implementation of the rule until January 1, 2026. The Inflation Reduction Act of 2022 (IRA) further delayed implementation of this rule to January 1, 2032.</w:t>
      </w:r>
    </w:p>
    <w:p>
      <w:pPr>
        <w:spacing w:after="0" w:line="16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201"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Medicare Part D. CMS may negotiate prices for ten high-cost drugs paid for by Medicare Part D starting in 2026, followed by 15 Medicare Part D drugs in 2027, 15 Medicare Part B or Medicare Part D drugs in 2028, and 20 Medicare Part B or Medicare Part D drugs in 2029 and beyond. This provision applies to drug products that have been approved for at least nine years and biologics that have been licensed for 13 years, but it does not apply to drugs and biologics that have been approved for a single rare disease or condition.</w:t>
      </w:r>
    </w:p>
    <w:p>
      <w:pPr>
        <w:spacing w:after="0" w:line="187"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CMS announced its selection of 15 additional drugs covered by Part D for the second cycle of negotiations.</w:t>
      </w:r>
    </w:p>
    <w:p>
      <w:pPr>
        <w:spacing w:after="0" w:line="189"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In addition to the drug price negotiation program,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new law also caps Medicare out-of-pocket drug costs at an estimated $4,000 a year in 2024 and, thereafter beginning in 2025, at $2,000 a year.</w:t>
      </w:r>
    </w:p>
    <w:p>
      <w:pPr>
        <w:spacing w:after="0" w:line="20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several other parties filed lawsuits in various courts with similar constitutional claims against the HHS and CMS. HHS has generally won the substantive disputes in these cases, and various federal district court judges have expressed skepticism regarding the merits of the legal arguments being pursued by the pharmaceutical industry. We expect that litigation involving these and other provisions of the IRA will continue, with unpredictable and uncertain results.</w:t>
      </w:r>
    </w:p>
    <w:p>
      <w:pPr>
        <w:spacing w:after="0" w:line="199"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is increasingly true with respect to products approved pursuant to the accelerated approval pathway. State Medicaid programs and other payers are developing strategies and implementing significant coverage barriers, or refusing to cover these products outright,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18" w:right="1440" w:bottom="177" w:gutter="0" w:footer="0" w:header="0"/>
        </w:sectPr>
      </w:pPr>
    </w:p>
    <w:bookmarkStart w:id="36" w:name="page37"/>
    <w:bookmarkEnd w:id="36"/>
    <w:p>
      <w:pPr>
        <w:jc w:val="both"/>
        <w:spacing w:after="0" w:line="279" w:lineRule="auto"/>
        <w:rPr>
          <w:sz w:val="20"/>
          <w:szCs w:val="20"/>
          <w:color w:val="auto"/>
        </w:rPr>
      </w:pPr>
      <w:r>
        <w:rPr>
          <w:rFonts w:ascii="Times New Roman" w:cs="Times New Roman" w:eastAsia="Times New Roman" w:hAnsi="Times New Roman"/>
          <w:sz w:val="20"/>
          <w:szCs w:val="20"/>
          <w:color w:val="auto"/>
        </w:rPr>
        <w:t>arguing that accelerated approval drugs have insufficient or limited evidence despite meeting the FDA’s standards for accelerated approval.</w:t>
      </w:r>
    </w:p>
    <w:p>
      <w:pPr>
        <w:spacing w:after="0" w:line="165"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For a more detailed discussion of health care reform in the U.S., see “Risk Factors - Ongoing healthcare legislative and regulatory reform measures may have a material adverse effect on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Regulation</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U.S. Privacy Law</w:t>
      </w:r>
    </w:p>
    <w:p>
      <w:pPr>
        <w:spacing w:after="0" w:line="237" w:lineRule="exact"/>
        <w:rPr>
          <w:sz w:val="20"/>
          <w:szCs w:val="20"/>
          <w:color w:val="auto"/>
        </w:rPr>
      </w:pPr>
    </w:p>
    <w:p>
      <w:pPr>
        <w:jc w:val="both"/>
        <w:ind w:firstLine="490"/>
        <w:spacing w:after="0" w:line="241" w:lineRule="auto"/>
        <w:rPr>
          <w:sz w:val="20"/>
          <w:szCs w:val="20"/>
          <w:color w:val="auto"/>
        </w:rPr>
      </w:pPr>
      <w:r>
        <w:rPr>
          <w:rFonts w:ascii="Times New Roman" w:cs="Times New Roman" w:eastAsia="Times New Roman" w:hAnsi="Times New Roman"/>
          <w:sz w:val="20"/>
          <w:szCs w:val="20"/>
          <w:color w:val="auto"/>
        </w:rPr>
        <w:t>There are numerous U.S. federal and state laws and regulations related to the privacy and security of personal information, including laws requiring the safeguarding of personal information and laws requiring notification to governmental authorities and data subjects as well as remediation in the event of a data breach. In the health care industry generally, under the federal Health Insurance Portability and Accountability Act of 1996, or HIPAA, as amended in 2009 by the Health Information Technology for Economic and Clinical Health Act, or HITECH, the U.S. Department of Health and Human Services, or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are regulated by the Common Rule, which also includes specific privacy-related provisions. HITECH made significant modifications to HIPAA including subjecting business associates to direct regulation and enforcement by the Office of Civil Rights of HHS, or OCR, instituting a breach notification requirement for breaches of unsecured PHI, including a breach of PHI held by a business associate, and strengthening the enforcement tools available to OCR.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General Data Protection Regulation</w:t>
      </w:r>
    </w:p>
    <w:p>
      <w:pPr>
        <w:spacing w:after="0" w:line="238"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9"/>
          <w:szCs w:val="19"/>
          <w:color w:val="auto"/>
        </w:rPr>
        <w:t>Many countries outside of the U.S. maintain rigorous laws governing the privacy and security of personal information. The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U.S., providing details to those individuals regarding the processing of their personal health and other sensitive data, obtaining consent to certain processing activities from the individuals to whom the personal data relates,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 keeping. The GDPR provides for substantial penalties to which we could be subject in the event of any non-compliance, including fines of up to €10.0 million or up to two percent of our total worldwide annual revenues, whichever is greater, for certain comparatively minor offenses, or up to €20.0 million or up to four percent of our total worldwide annual revenues,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and recent court decisions and regulatory guidance have substantially increased the compliance burden and legal uncertainty associated with transferring the personal data of</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18" w:right="1440" w:bottom="177" w:gutter="0" w:footer="0" w:header="0"/>
        </w:sectPr>
      </w:pPr>
    </w:p>
    <w:bookmarkStart w:id="37" w:name="page38"/>
    <w:bookmarkEnd w:id="37"/>
    <w:p>
      <w:pPr>
        <w:jc w:val="both"/>
        <w:spacing w:after="0" w:line="259" w:lineRule="auto"/>
        <w:rPr>
          <w:sz w:val="20"/>
          <w:szCs w:val="20"/>
          <w:color w:val="auto"/>
        </w:rPr>
      </w:pPr>
      <w:r>
        <w:rPr>
          <w:rFonts w:ascii="Times New Roman" w:cs="Times New Roman" w:eastAsia="Times New Roman" w:hAnsi="Times New Roman"/>
          <w:sz w:val="20"/>
          <w:szCs w:val="20"/>
          <w:color w:val="auto"/>
        </w:rPr>
        <w:t>EEA individuals to third countries outside of the EEA whose data protection laws are not believed to be adequate by European standards (although the recent EU-US Data Privacy Framework offers a new route for data transfers from the EU to be made lawfully to the US).</w:t>
      </w:r>
    </w:p>
    <w:p>
      <w:pPr>
        <w:spacing w:after="0" w:line="18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Further, the GDPR provides for opening clauses in certain areas, which enable the legislators of member states of the EU to implement additional requirements to the GDPR in national law, whereby national laws may partially deviate from the GDPR and impose different obligations from country to country, so that we do not expect to operate in a uniform legal landscape in the EEA.</w:t>
      </w:r>
    </w:p>
    <w:p>
      <w:pPr>
        <w:spacing w:after="0" w:line="189"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auto"/>
        </w:rPr>
        <w:t>Also, as it relates to processing and transfer of genetic, biometric and health data, the GDPR specifically allows national laws to impose additional and more specific requirements or restrictions, and European laws have historically differed quite substantially in this field, leading to additional uncertainty. The UK’s decision to leave the EU (and it is important to note that the EEA does not include the UK), often referred to as Brexit, has created uncertainty with regard to data protection regulation in the UK and to what extent UK law will diverge from the GDPR in the future. At this point in time, the UK Government has incorporated the GDPR into UK law, known as the ‘UK GDPR', but has also published proposals recently to reform UK data protection law which are going through the UK Parliament and likely to become law in 2024. In the context of international data transfers, European Commission has issued adequacy decisions which have the effect of authorizing data transfers from the EEA to the UK. The UK Government and the Information Commissioner’s Office have also published proposals recently to indicate how data transfers between the UK and the rest of the world will be regulated now that the UK has left the EU. For instance, the UK Government proposes recognizing more countries as adequate for data transfers as part of reducing barriers to data flows — this would include countries not yet authorized by the European Commission. The UK Government has also approved the UK Extension to the EU-US Data Privacy Framework for data transfers from the UK to the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4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As of December 31, 2025, we had 10 full-time employees, including a total of two employees with M.D. or Ph.D. degrees. Of these full-time employees, four are engaged in research and development activities and six are engaged in general and administrative activities. None of our employees is represented by a labor union or covered by a collective bargaining agreement.</w:t>
      </w:r>
    </w:p>
    <w:p>
      <w:pPr>
        <w:spacing w:after="0" w:line="191"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are dedicated to fostering a workplace environment that keeps our employees inspired, including providing a comprehensive benefits program that supports the health care, family, and financial needs of our employees. All of our full-time employees are eligible for cash bonuses and equity awards in addition to other benefits including comprehensive health insurance, life and disability insurance, and 401(k) matching.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2"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We were incorporated under the laws of the State of Delaware on August 6, 2001 under the name Renegade Therapeutics, Inc. We changed our name to Aileron Therapeutics, Inc. on February 5, 2007. On October 31, 2023, we acquired Lung Therapeutics, Inc., or Lung, pursuant to an Agreement and Plan of Merger, after which time Lung became a wholly owned subsidiary of ours. On January 10, 2025, we changed our name to Rein Therapeutics, Inc., and changed our trading symbol from “ALRN” to “RNTX”, effective January 13, 2025. Our principal executive office is located at 12407 N. Mopac Expy. Suite 250 #390, Austin, TX 78758, and our telephone number is (737) 802-1989.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Available on the Internet</w:t>
      </w:r>
    </w:p>
    <w:p>
      <w:pPr>
        <w:spacing w:after="0" w:line="241"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Our internet website address is http://www.reintx.com. The information contained on, or that can be accessed through, our website is not a part of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 K and amendment to those reports filed or furnished pursuant to Sections 13(a) and 15(d) of the Securities Exchange Act of 1934, as amended, or the Exchange Act. We make these reports available through the “SEC Filings” section of our website as soon as reasonably practicable after we electronically file such reports with, or furnish such reports to, the Securities and Exchange Commission, or SEC. We also make available, free of charge on our website, the reports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18" w:right="1440" w:bottom="177"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20"/>
          <w:szCs w:val="20"/>
          <w:color w:val="auto"/>
        </w:rPr>
        <w:t>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18" w:right="1440" w:bottom="177"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5"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Careful consideration should be given to the following risk factors, in addition to the other information set forth in this Annual Report on Form 10-K and in other documents that we file with the SEC, in evaluating our company and our business. Investing in our common stock involves a high degree of risk. If any of the following risks actually occur, our business, financial condition, results of operations and future growth prospects could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w:t>
      </w:r>
    </w:p>
    <w:p>
      <w:pPr>
        <w:spacing w:after="0" w:line="243"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require substantial additional capital to finance our operations. Our cash and cash equivalents are not sufficient to enable us to sustain our operations beyond the second quarter of 2026 or complete the development and commercialization of LTI-03. If we are unable to raise such capital when needed, or on acceptable terms, we may be forced to delay, reduce and/or eliminate one or more of our clinical and research and development programs, future commercialization efforts or other operations.</w:t>
      </w:r>
    </w:p>
    <w:p>
      <w:pPr>
        <w:spacing w:after="0" w:line="195"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As of December 31, 2025, we had approximately $3.2 million in cash and cash equivalents. Based on our current operating plan, we believe that our existing cash and cash equivalents as of December 31, 2025, together with the $4.3 million of proceeds received by us pursuant to the securities purchase agreements we entered into in January and February 2026, will be sufficient to enable us to fund our planned operating expense and capital expenditure requirements into the second quarter of 2026. These funds are not sufficient to enable us to sustain our operations beyond the second quarter of 2026 or complete the Phase 2 RENEW clinical trial of LTI-03. Our future viability is dependent on our ability to raise additional capital to finance our operations within the next five months. Our estimate as to how long we expect our existing cash and cash equivalents to be able to continue to fund our operations is based on assumptions that may prove to be wrong, and we could use our available capital resources sooner than we currently expect. Accordingly, we will be required to obtain further funding through public or private equity offerings, debt financings, collaborations and licensing arrangements or other sources. There is no assurance that we will be successful in obtaining sufficient funding on terms acceptable to us to fund continuing operations, or at all. If we are unable to obtain sufficient funding on terms acceptable to us, on a timely basis or at all, we may be forced to delay, reduce or eliminate some or all of our research and development programs, product portfolio expansion or future commercialization efforts, which could adversely affect our business prospects, or we may be unable to continue operations.</w:t>
      </w:r>
    </w:p>
    <w:p>
      <w:pPr>
        <w:spacing w:after="0" w:line="210"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Our future funding requirements, both near and long-term, will depend on many factors, including, but not limited to:</w:t>
      </w:r>
    </w:p>
    <w:p>
      <w:pPr>
        <w:spacing w:after="0" w:line="5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scope, timing, progress, costs, and results of discovery, preclinical development, and clinical trials for our current and future product candidates;</w:t>
      </w:r>
    </w:p>
    <w:p>
      <w:pPr>
        <w:spacing w:after="0" w:line="57" w:lineRule="exact"/>
        <w:rPr>
          <w:sz w:val="20"/>
          <w:szCs w:val="20"/>
          <w:color w:val="auto"/>
        </w:rPr>
      </w:pPr>
    </w:p>
    <w:p>
      <w:pPr>
        <w:ind w:left="980"/>
        <w:spacing w:after="0" w:line="400" w:lineRule="auto"/>
        <w:rPr>
          <w:sz w:val="20"/>
          <w:szCs w:val="20"/>
          <w:color w:val="auto"/>
        </w:rPr>
      </w:pPr>
      <w:r>
        <w:rPr>
          <w:rFonts w:ascii="Times New Roman" w:cs="Times New Roman" w:eastAsia="Times New Roman" w:hAnsi="Times New Roman"/>
          <w:sz w:val="19"/>
          <w:szCs w:val="19"/>
          <w:color w:val="auto"/>
        </w:rPr>
        <w:t>the number of clinical trials required for regulatory approval of our current and future product candidates; the costs, timing, and outcome of regulatory review of any of our current and future product candidates; the cost of manufacturing clinical and commercial supplies of our current and future product candidates;</w:t>
      </w:r>
    </w:p>
    <w:p>
      <w:pPr>
        <w:ind w:left="980"/>
        <w:spacing w:after="0" w:line="280" w:lineRule="auto"/>
        <w:rPr>
          <w:sz w:val="20"/>
          <w:szCs w:val="20"/>
          <w:color w:val="auto"/>
        </w:rPr>
      </w:pPr>
      <w:r>
        <w:rPr>
          <w:rFonts w:ascii="Times New Roman" w:cs="Times New Roman" w:eastAsia="Times New Roman" w:hAnsi="Times New Roman"/>
          <w:sz w:val="20"/>
          <w:szCs w:val="20"/>
          <w:color w:val="auto"/>
        </w:rPr>
        <w:t>the costs and timing of future commercialization activities, including manufacturing, marketing, sales, and distribution, for any of our product candidates for which we receive marketing approval;</w:t>
      </w:r>
    </w:p>
    <w:p>
      <w:pPr>
        <w:spacing w:after="0" w:line="57"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76"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76"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revenue, if any, received from commercial sales of our product candidates for which we receive marketing approval;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expenses to attract, hire and retain, skilled personnel;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16" w:right="1440" w:bottom="177" w:gutter="0" w:footer="0" w:header="0"/>
        </w:sectPr>
      </w:pPr>
    </w:p>
    <w:bookmarkStart w:id="40" w:name="page41"/>
    <w:bookmarkEnd w:id="40"/>
    <w:p>
      <w:pPr>
        <w:ind w:left="480"/>
        <w:spacing w:after="0"/>
        <w:rPr>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if our product candidates are approved, our ability to establish a commercially viable pricing structure and obtain approval for coverage and adequate reimbursement from third-party and government payors;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effect of competing technological and market developments;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extent to which we acquire or invest in businesses, products, and technologies; and</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unfavorable global economic conditions, which may exacerbate the magnitude of the factors discussed above.</w:t>
      </w:r>
    </w:p>
    <w:p>
      <w:pPr>
        <w:spacing w:after="0" w:line="165"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Any of the above events could significantly harm our business, prospects, financial condition and results of operations and cause the price of our common stock to decline.</w:t>
      </w:r>
    </w:p>
    <w:p>
      <w:pPr>
        <w:spacing w:after="0" w:line="208"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LTI-03, LTI-01 or other product candidates.</w:t>
      </w:r>
    </w:p>
    <w:p>
      <w:pPr>
        <w:spacing w:after="0" w:line="16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We expect our expenses to increase as we will incur significant research and development expenses as we conduct planned clinical trials, continue our non-clinical research with our product candidates, initiate additional clinical trials of our product candidates and pursue later stages of clinical development of our product candidates. Until such time, if ever, as we can generate substantial revenues from the sale of our products, we expect to finance our cash needs through a combination of equity offerings, debt financings, collaborations, strategic alliances and/or licensing arrangements. To the extent that we raise additional capital through the sale of equity or convertible debt securities, the ownership interest of our then existing stockholders may be diluted, and the terms of these securities could include liquidation or other preferences and anti-dilution protections that could adversely affect the rights of our common stockholders.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Securing financing may also require a substantial amount of time and attention from our management team and could divert a disproportionate amount of their attention away from day-to-day activities, which may adversely affect our management’s ability to oversee the development of our product candidates.</w:t>
      </w:r>
    </w:p>
    <w:p>
      <w:pPr>
        <w:spacing w:after="0" w:line="212"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We may seek one or more collaborators for future development of our product candidates for one or more indications. However, we may not be able to enter into such collaborations on suitable terms, on a timely basis, or at all. Even if we are able to raise additional funds through collaborations, strategic alliances or licensing arrangements with third parties, we may have to relinquish valuable rights to our technology, future revenue streams or product candidates or grant licenses on terms that may not be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33" w:right="1440" w:bottom="177" w:gutter="0" w:footer="0" w:header="0"/>
        </w:sectPr>
      </w:pPr>
    </w:p>
    <w:bookmarkStart w:id="41" w:name="page42"/>
    <w:bookmarkEnd w:id="41"/>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If we are unable to raise additional funds when needed, we may be required to delay, reduce and/or eliminate our product development or future commercialization efforts, or grant rights to develop and market product candidates that we might otherwise prefer to develop and market ourselves.</w:t>
      </w:r>
    </w:p>
    <w:p>
      <w:pPr>
        <w:spacing w:after="0" w:line="187"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no products approved for commercial sale, which may make it difficult to evaluate our prospects and likelihood of success.</w:t>
      </w:r>
    </w:p>
    <w:p>
      <w:pPr>
        <w:spacing w:after="0" w:line="16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We are a clinical-stage biopharmaceutical company with a limited operating history. We have no products approved for commercial sale and have not generated any revenue from product sales. Our operations to date have been limited to organizing and staffing our company, business planning, raising capital, establishing our intellectual property portfolio and performing clinical trials and research and development of our main product candidate, LTI-</w:t>
      </w:r>
    </w:p>
    <w:p>
      <w:pPr>
        <w:spacing w:after="0" w:line="1" w:lineRule="exact"/>
        <w:rPr>
          <w:sz w:val="20"/>
          <w:szCs w:val="20"/>
          <w:color w:val="auto"/>
        </w:rPr>
      </w:pPr>
    </w:p>
    <w:p>
      <w:pPr>
        <w:jc w:val="both"/>
        <w:spacing w:after="0" w:line="241" w:lineRule="auto"/>
        <w:tabs>
          <w:tab w:leader="none" w:pos="29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fourth quarter of 2025, we decided to pause development activities related to LTI-01 for an indefinite period due to our current capital limitations. Our approach to the research and development of our product candidates is unproven, and we do not know whether we will be able to develop any products of commercial value. LTI-03 is currently in Phase 2 clinical development. It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clinical trials to regulatory approval. We are still in mid-stage clinical development and may be unable to obtain regulatory approval, manufacture a commercial scale product, or arrange for a third 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218"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since inception and we expect to continue to incur significant net losses for the foreseeable future and do not expect to achieve or maintain profitability; Our recurring losses from operations raise substantial doubt regarding our ability to continue as a going concern.</w:t>
      </w:r>
    </w:p>
    <w:p>
      <w:pPr>
        <w:spacing w:after="0" w:line="18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We have incurred significant losses since our inception and have financed our operations principally through equity financings. We continue to incur significant research and development and other expenses related to our ongoing operations. For the years ended December 31, 2025 and 2024, we reported an operating loss of $50.6 million and $65.1 million, respectively. As of December 31, 2025, we had an accumulated deficit of $401.3 million. We have devoted substantially all of our resources and efforts to organizing and staffing our company, business planning, raising capital, acquiring and discovering development programs, securing intellectual property rights and research and development and we expect that it will be several years, if ever, before we generate revenue from product sales. Even if we receive marketing approval for and commercialize one or more of our product candidates, we expect that we will continue to incur substantial research and development and other expenses in order to develop and market additional potential product candidates. We expect to continue to incur significant losses for the foreseeable future, and we anticipate that our expenses will increase substantially if, and as, we:</w:t>
      </w:r>
    </w:p>
    <w:p>
      <w:pPr>
        <w:spacing w:after="0" w:line="103"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advance the development of our lead clinical product candidate, LTI-03, through clinical development, and, if successful, later-stage clinical trials;</w:t>
      </w:r>
    </w:p>
    <w:p>
      <w:pPr>
        <w:spacing w:after="0" w:line="59" w:lineRule="exact"/>
        <w:rPr>
          <w:sz w:val="20"/>
          <w:szCs w:val="20"/>
          <w:color w:val="auto"/>
        </w:rPr>
      </w:pPr>
    </w:p>
    <w:p>
      <w:pPr>
        <w:ind w:left="980" w:right="2480"/>
        <w:spacing w:after="0" w:line="380" w:lineRule="auto"/>
        <w:rPr>
          <w:sz w:val="20"/>
          <w:szCs w:val="20"/>
          <w:color w:val="auto"/>
        </w:rPr>
      </w:pPr>
      <w:r>
        <w:rPr>
          <w:rFonts w:ascii="Times New Roman" w:cs="Times New Roman" w:eastAsia="Times New Roman" w:hAnsi="Times New Roman"/>
          <w:sz w:val="20"/>
          <w:szCs w:val="20"/>
          <w:color w:val="auto"/>
        </w:rPr>
        <w:t>advance our preclinical development programs into clinical development; research and develop new product candidates;</w:t>
      </w:r>
    </w:p>
    <w:p>
      <w:pPr>
        <w:ind w:left="980"/>
        <w:spacing w:after="0" w:line="280" w:lineRule="auto"/>
        <w:rPr>
          <w:sz w:val="20"/>
          <w:szCs w:val="20"/>
          <w:color w:val="auto"/>
        </w:rPr>
      </w:pPr>
      <w:r>
        <w:rPr>
          <w:rFonts w:ascii="Times New Roman" w:cs="Times New Roman" w:eastAsia="Times New Roman" w:hAnsi="Times New Roman"/>
          <w:sz w:val="20"/>
          <w:szCs w:val="20"/>
          <w:color w:val="auto"/>
        </w:rPr>
        <w:t>experience delays or interruptions to clinical trials, preclinical studies, our receipt of materials and services from our third-party service providers on whom we rely, or our supply chain;</w:t>
      </w:r>
    </w:p>
    <w:p>
      <w:pPr>
        <w:spacing w:after="0" w:line="57" w:lineRule="exact"/>
        <w:rPr>
          <w:sz w:val="20"/>
          <w:szCs w:val="20"/>
          <w:color w:val="auto"/>
        </w:rPr>
      </w:pPr>
    </w:p>
    <w:p>
      <w:pPr>
        <w:ind w:left="980" w:right="840"/>
        <w:spacing w:after="0" w:line="420" w:lineRule="auto"/>
        <w:rPr>
          <w:sz w:val="20"/>
          <w:szCs w:val="20"/>
          <w:color w:val="auto"/>
        </w:rPr>
      </w:pPr>
      <w:r>
        <w:rPr>
          <w:rFonts w:ascii="Times New Roman" w:cs="Times New Roman" w:eastAsia="Times New Roman" w:hAnsi="Times New Roman"/>
          <w:sz w:val="20"/>
          <w:szCs w:val="20"/>
          <w:color w:val="auto"/>
        </w:rPr>
        <w:t>seek regulatory approvals for any product candidates that successfully complete clinical trials; commercialize our product candidates and any future product candidates, if approved;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18" w:right="1440" w:bottom="177" w:gutter="0" w:footer="0" w:header="0"/>
        </w:sectPr>
      </w:pPr>
    </w:p>
    <w:bookmarkStart w:id="42" w:name="page43"/>
    <w:bookmarkEnd w:id="42"/>
    <w:p>
      <w:pPr>
        <w:ind w:left="480"/>
        <w:spacing w:after="0"/>
        <w:rPr>
          <w:sz w:val="20"/>
          <w:szCs w:val="20"/>
          <w:color w:val="auto"/>
        </w:rPr>
      </w:pPr>
      <w:r>
        <w:rPr>
          <w:rFonts w:ascii="Times New Roman" w:cs="Times New Roman" w:eastAsia="Times New Roman" w:hAnsi="Times New Roman"/>
          <w:sz w:val="20"/>
          <w:szCs w:val="20"/>
          <w:color w:val="auto"/>
        </w:rPr>
        <w:t>increase the amount of research and development activities to identify and develop product candidates;</w:t>
      </w:r>
    </w:p>
    <w:p>
      <w:pPr>
        <w:spacing w:after="0" w:line="133"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hire additional CMC, quality control, scientific and management personnel and expand our operational, financial and management systems and personnel, including personnel to support our clinical development and manufacturing efforts and our operations as a public company;</w:t>
      </w:r>
    </w:p>
    <w:p>
      <w:pPr>
        <w:spacing w:after="0" w:line="76"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79" w:lineRule="exact"/>
        <w:rPr>
          <w:sz w:val="20"/>
          <w:szCs w:val="20"/>
          <w:color w:val="auto"/>
        </w:rPr>
      </w:pPr>
    </w:p>
    <w:p>
      <w:pPr>
        <w:ind w:left="980" w:right="2940"/>
        <w:spacing w:after="0" w:line="420" w:lineRule="auto"/>
        <w:rPr>
          <w:sz w:val="20"/>
          <w:szCs w:val="20"/>
          <w:color w:val="auto"/>
        </w:rPr>
      </w:pPr>
      <w:r>
        <w:rPr>
          <w:rFonts w:ascii="Times New Roman" w:cs="Times New Roman" w:eastAsia="Times New Roman" w:hAnsi="Times New Roman"/>
          <w:sz w:val="20"/>
          <w:szCs w:val="20"/>
          <w:color w:val="auto"/>
        </w:rPr>
        <w:t>maintain, expand and protect our intellectual property portfolio; and invest in or in-license other technologies or product candidates.</w:t>
      </w:r>
    </w:p>
    <w:p>
      <w:pPr>
        <w:spacing w:after="0" w:line="2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Moreover, these factors raise substantial doubt about our ability to continue as a going concern. Substantial doubt about our ability to continue as a going concern may materially and adversely affect the price per share of our common stock, and it may be more difficult for us to obtain financing. If existing or potential collaborators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w:t>
      </w:r>
    </w:p>
    <w:p>
      <w:pPr>
        <w:spacing w:after="0" w:line="202"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202020"/>
        </w:rPr>
        <w:t>Global and macroeconomic developments can disrupt our supply chains and adversely affect our financial condition and results of operations.</w:t>
      </w:r>
    </w:p>
    <w:p>
      <w:pPr>
        <w:spacing w:after="0" w:line="165"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We are subject to continuing risks and uncertainties in connection with legislative, regulatory, political, geopolitical and macroeconomic developments beyond our control, including inflationary pressures, trade policies, including tariffs and other trade restrictions or the threat of such actions, military actions and ongoing conflicts in the Middle East, Ukraine and elsewhere, general economic slowdown or a recession, high interest rates, changes in monetary policy or foreign currency exchange rates and changes in, instability in financial institutions. Most of these developments and factors are outside of our control and could exist for an extended period of time. Portions of our future clinical trials may be conducted outside of the U.S. and unfavorable economic conditions resulting in the weakening of the U.S. dollar would make those clinical trials more costly to operate. Furthermore, a severe or prolonged economic downturn, including due to the impact of tariff and trade policies or conflicts in the Middle East or Ukraine could result in a variety of risks to our business, including a reduced ability to raise additional capital when needed on acceptable terms, if at all. A weak or declining economy or international conflicts or trade disputes could also strain our suppliers, some of which are located outside of the U.S., possibly resulting in supply disruption. Any of the foregoing could harm our business and we cannot anticipate all of the ways in which the current economic climate and financial market conditions could adversely impact our business.</w:t>
      </w:r>
    </w:p>
    <w:p>
      <w:pPr>
        <w:spacing w:after="0" w:line="202"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202020"/>
        </w:rPr>
        <w:t>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financial statements or cause us to fail to meet our periodic reporting obligations.</w:t>
      </w:r>
    </w:p>
    <w:p>
      <w:pPr>
        <w:spacing w:after="0" w:line="19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An ineffective system of internal control could also cause investors to lose confidence in our reported financial information, which could have a negative effect on the trading price of our stock.</w:t>
      </w:r>
    </w:p>
    <w:p>
      <w:pPr>
        <w:spacing w:after="0" w:line="206" w:lineRule="exact"/>
        <w:rPr>
          <w:sz w:val="20"/>
          <w:szCs w:val="20"/>
          <w:color w:val="auto"/>
        </w:rPr>
      </w:pPr>
    </w:p>
    <w:p>
      <w:pPr>
        <w:jc w:val="both"/>
        <w:ind w:firstLine="490"/>
        <w:spacing w:after="0" w:line="306" w:lineRule="auto"/>
        <w:rPr>
          <w:sz w:val="20"/>
          <w:szCs w:val="20"/>
          <w:color w:val="auto"/>
        </w:rPr>
      </w:pPr>
      <w:r>
        <w:rPr>
          <w:rFonts w:ascii="Times New Roman" w:cs="Times New Roman" w:eastAsia="Times New Roman" w:hAnsi="Times New Roman"/>
          <w:sz w:val="19"/>
          <w:szCs w:val="19"/>
          <w:color w:val="auto"/>
        </w:rPr>
        <w:t>We have identified material weaknesses in our internal control over financial reporting as of December 31, 2025 and 2024. A material weakness is a deficiency, or combination of deficiencies, in internal control over financial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33" w:right="1440" w:bottom="177" w:gutter="0" w:footer="0" w:header="0"/>
        </w:sectPr>
      </w:pPr>
    </w:p>
    <w:bookmarkStart w:id="43" w:name="page44"/>
    <w:bookmarkEnd w:id="43"/>
    <w:p>
      <w:pPr>
        <w:jc w:val="both"/>
        <w:spacing w:after="0" w:line="263" w:lineRule="auto"/>
        <w:rPr>
          <w:sz w:val="20"/>
          <w:szCs w:val="20"/>
          <w:color w:val="auto"/>
        </w:rPr>
      </w:pPr>
      <w:r>
        <w:rPr>
          <w:rFonts w:ascii="Times New Roman" w:cs="Times New Roman" w:eastAsia="Times New Roman" w:hAnsi="Times New Roman"/>
          <w:sz w:val="19"/>
          <w:szCs w:val="19"/>
          <w:color w:val="auto"/>
        </w:rPr>
        <w:t>reporting such that there is a possibility that a material misstatement of our financial statements will not be prevented or detected on a timely basis. We identified the following material weaknesses in internal control over financial reporting: (i) lack of sufficient accounting and supervisory personnel who have the appropriate level of technical accounting experience and training, and (ii) lack of adequate procedures and controls to ensure that accurate financial statements could have been prepared and reviewed on a timely basis for annual reporting purposes. Refer to Part II, Item 9A. “Controls and Procedures” for additional information regarding the material weaknesses.</w:t>
      </w:r>
    </w:p>
    <w:p>
      <w:pPr>
        <w:spacing w:after="0" w:line="18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We have implemented and are continuing to implement procedures to remediate these material weaknesses, however, we cannot assure you that these or other measures will fully remediate the material weaknesses in a timely manner or prevent future material weaknesses from occurring. For additional information regarding our remediation measures for the material weaknesses, please refer to Part II, Item 9A. “Controls and Procedures” in this Annual Report on Form 10-K.</w:t>
      </w:r>
    </w:p>
    <w:p>
      <w:pPr>
        <w:spacing w:after="0" w:line="19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hold a portion of our cash and cash equivalents that we use to meet our working capital and operating expense needs in deposit accounts that could be adversely affected if the financial institutions holding such funds fail.</w:t>
      </w:r>
    </w:p>
    <w:p>
      <w:pPr>
        <w:spacing w:after="0" w:line="18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We hold a portion of cash and cash equivalents that we use to meet our working capital and operating expense needs in deposit accounts. The balance held in these accounts may exceed the Federal Deposit Insurance Corporation, or FDIC, standard deposit insurance limit of $ 0.25 million.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 term liquidity and ability to meet our operating expense obligations.</w:t>
      </w:r>
    </w:p>
    <w:p>
      <w:pPr>
        <w:spacing w:after="0" w:line="19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For example, on March 10, 2023, Silicon Valley Bank, or SVB, and Signature Bank, were closed by state regulators and the FDIC was appointed receiver for each bank. The FDIC created successor bridge banks and all deposits of SVB and Signature Bank were transferred to the bridge banks under a systemic risk exception approved by the U.S. Department of the Treasury, the Federal Reserve and the FDIC. If financial institutions in which we hold funds for working capital and operating expenses were to fail, we cannot provide any assurances that such governmental agencies would take action to protect our uninsured deposits in a similar manner.</w:t>
      </w:r>
    </w:p>
    <w:p>
      <w:pPr>
        <w:spacing w:after="0" w:line="19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also maintain investment accounts in which we hold our investments and, if access to the funds we use for working capital and operating expenses is impaired, we may not be able to open new operating accounts or to sell investments or transfer funds from our investment accounts to new operating accounts on a timely basis sufficient to meet our operating expense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Development and Commercialization of Product Candidates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highly dependent on the success of our lead product candidate, LTI-03.</w:t>
      </w:r>
    </w:p>
    <w:p>
      <w:pPr>
        <w:spacing w:after="0" w:line="23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We currently have no products that are approved for commercial sale and may never be able to develop marketable products. We have our lead product candidate, LTI-03, in Phase 2 clinical development. If it encounters safety or efficacy problems, development delays, regulatory issues or other problems, our development plans and business would be significantly harmed. We have completed a Phase 1a safety and tolerability clinical trial of LTI-03 in healthy normal volunteers and conducted a Phase 1b dose ranging, placebo-controlled safety and tolerability trial of LTI-03 in IPF patients. We must successfully complete Phase 3 clinical trials prior to obtaining the FDA approval of LTI-03 for commercial use.</w:t>
      </w:r>
    </w:p>
    <w:p>
      <w:pPr>
        <w:spacing w:after="0" w:line="20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For each product candidate, we must demonstrate its safety and efficacy in humans, obtain regulatory approval in one or more jurisdictions, obtain manufacturing supply, capacity and expertise, and substantially invest in marketing efforts before we are able to generate any revenue from such product candidate.</w:t>
      </w:r>
    </w:p>
    <w:p>
      <w:pPr>
        <w:spacing w:after="0" w:line="185"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Before we can generate any revenue from sales of our clinical product candidate, LTI-03, we must perform additional clinical studies and/or preclinical development, and complete regulatory review and approval in one 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18" w:right="1440" w:bottom="177"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20"/>
          <w:szCs w:val="20"/>
          <w:color w:val="auto"/>
        </w:rPr>
        <w:t>more jurisdictions. In addition, if one or more of our product candidates is approved, we must ensure sufficient commercial manufacturing capacity and conduct and finance significant marketing efforts in connection with any commercial launch. These efforts will require substantial investment, and we may not have the financial resources to continue development of our product candidates.</w:t>
      </w:r>
    </w:p>
    <w:p>
      <w:pPr>
        <w:spacing w:after="0" w:line="189"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We may experience setbacks that could delay or prevent regulatory approval of, or our ability to commercialize, our product candidates, including, but not limited to:</w:t>
      </w:r>
    </w:p>
    <w:p>
      <w:pPr>
        <w:spacing w:after="0" w:line="5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negative or inconclusive results from our clinical trials or preclinical studies or the clinical trials or preclinical studies of others for product candidates similar to ours, leading to a decision or requirement to conduct additional clinical trials or preclinical studies or to abandon a program;</w:t>
      </w:r>
    </w:p>
    <w:p>
      <w:pPr>
        <w:spacing w:after="0" w:line="78"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drug-related side effects experienced by subjects in our clinical trials or by individuals using drugs or therapeutics similar to our product candidates;</w:t>
      </w:r>
    </w:p>
    <w:p>
      <w:pPr>
        <w:spacing w:after="0" w:line="58"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delays in submitting Investigational New Drug applications, or INDs, or comparable foreign regulatory applications or delays or failure in obtaining the necessary approvals from regulators to commence a clinical trial, or a suspension or termination of a clinical trial once commenced;</w:t>
      </w:r>
    </w:p>
    <w:p>
      <w:pPr>
        <w:spacing w:after="0" w:line="7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conditions imposed by the FDA or comparable foreign authorities regarding the scope or design of our clinical trials or our drug development strategy;</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delays in enrolling subjects in clinical trials;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high drop-out rates of subjects from clinical trials;</w:t>
      </w:r>
    </w:p>
    <w:p>
      <w:pPr>
        <w:spacing w:after="0" w:line="134"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inadequate or delayed supply or quality of product candidates or other materials necessary for the conduct of our clinical trials;</w:t>
      </w:r>
    </w:p>
    <w:p>
      <w:pPr>
        <w:spacing w:after="0" w:line="57" w:lineRule="exact"/>
        <w:rPr>
          <w:sz w:val="20"/>
          <w:szCs w:val="20"/>
          <w:color w:val="auto"/>
        </w:rPr>
      </w:pPr>
    </w:p>
    <w:p>
      <w:pPr>
        <w:ind w:left="980" w:right="4980"/>
        <w:spacing w:after="0" w:line="380" w:lineRule="auto"/>
        <w:rPr>
          <w:sz w:val="20"/>
          <w:szCs w:val="20"/>
          <w:color w:val="auto"/>
        </w:rPr>
      </w:pPr>
      <w:r>
        <w:rPr>
          <w:rFonts w:ascii="Times New Roman" w:cs="Times New Roman" w:eastAsia="Times New Roman" w:hAnsi="Times New Roman"/>
          <w:sz w:val="20"/>
          <w:szCs w:val="20"/>
          <w:color w:val="auto"/>
        </w:rPr>
        <w:t>greater than anticipated clinical trial costs; inability to compete with other therapies;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unfavorable FDA or other regulatory agency inspection and review of a clinical trial site;</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failure of our third-party manufacturers, contractors or investigators to comply with regulatory requirements or otherwise meet their contractual obligations in a timely manner, or at all;</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delays in obtaining any pre-market inspections required by the FDA or other regulatory agencies;</w:t>
      </w:r>
    </w:p>
    <w:p>
      <w:pPr>
        <w:spacing w:after="0" w:line="134"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delays and changes in regulatory requirements, policy and guidelines, including the imposition of additional regulatory oversight around clinical testing generally or with respect to our technology in particular; or</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varying interpretations of data by the FDA and similar foreign regulatory agencies.</w:t>
      </w:r>
    </w:p>
    <w:p>
      <w:pPr>
        <w:spacing w:after="0" w:line="24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We do not have complete control over many of these factors, including certain aspects of clinical development and the regulatory review process, potential threats to our intellectual property rights and our manufacturing, marketing, distribution and sales efforts or that of any future collaborator.</w:t>
      </w:r>
    </w:p>
    <w:p>
      <w:pPr>
        <w:spacing w:after="0" w:line="187"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approach to drug research and development in the area of fibrotic diseases, with a focus on Cav1-related peptides, is unproven and may not result in marketable products.</w:t>
      </w:r>
    </w:p>
    <w:p>
      <w:pPr>
        <w:spacing w:after="0" w:line="167"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Our approach is to develop targeted treatments for fibrosis with an initial focus on Cav1 biology and utilization of its caveolin scaffolding domain, or CSD, peptide region. However, to date, this mechanism has not been definitively proven to successfully treat fibrosis in patients. Utilizing a Cav1-related peptide to treat fibrosis is a novel approach in a rapidly developing field, and there can be no assurance that we will not experience unforeseen problems or delays in developing our product candidates, that such problems or delays will not result in unanticipated costs, or that any such development problems can be solved. Therefore, we may ultimately discover that our approach and any product candidates resulting therefrom do not possess properties required for therapeutic effectiveness. As a result, we may never succeed in developing a marketable product.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18" w:right="1440" w:bottom="177" w:gutter="0" w:footer="0" w:header="0"/>
        </w:sectPr>
      </w:pPr>
    </w:p>
    <w:bookmarkStart w:id="45" w:name="page46"/>
    <w:bookmarkEnd w:id="45"/>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In addition, while we have utilized cell assays, precision cut lung slice models, and in vivo animal models to assess both anti-fibrotic and epithelium preservation functions of Cav1-related peptides, there can be no assurance that our technology will yield its intended benefits in human patients.</w:t>
      </w:r>
    </w:p>
    <w:p>
      <w:pPr>
        <w:spacing w:after="0" w:line="187"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outcome of preclinical testing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p>
      <w:pPr>
        <w:spacing w:after="0" w:line="18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currently have no products approved for sale and we cannot guarantee that we will ever have marketable products. Clinical failure can occur at any stage of clinical development. Clinical trials may produce negative or inconclusive results, and we or any future collaborators may decide, or regulatory authorities may require us, to conduct additional clinical trials or nonclinical studies. We will be required to demonstrate with substantial evidence through well-controlled, adequate clinical trials that our product candidates are safe and effective for use in a diverse population before we can seek marketing approvals for their commercial sale. Success in preclinical studies and early-stage clinical trials does not mean that future larger registration clinical trials will be successful. This is because product candidates in later-stage clinical trials may fail to demonstrate sufficient safety and efficacy to the satisfaction of the FDA and comparable foreign regulatory authorities despite having progressed through nonclinical studies and early-stage clinical trials.</w:t>
      </w:r>
    </w:p>
    <w:p>
      <w:pPr>
        <w:spacing w:after="0" w:line="20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From time to time, we may publish or report topline, interim or preliminary data from our clinical trials. We make assumptions, estimates, calculations, and conclusions as part of our analyses of data, and we may not have received or had the opportunity to evaluate all data fully and carefully. As a result, topline, interim or preliminary data from clinical trials that we may conduct may not be indicative of the final results of such trials and are subject to the risk that one or more of the clinical outcomes may materially change as subject enrollment continues and more data from the trials become available. Topline, interim or preliminary data also remain subject to audit and verification procedures that may result in the final data being materially different from the interim or preliminary data. As a result, topline, interim or preliminary data should be viewed with caution until the final data are available.</w:t>
      </w:r>
    </w:p>
    <w:p>
      <w:pPr>
        <w:spacing w:after="0" w:line="20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conducting and may in the future choose to conduct clinical trials for current or future product candidates outside of the U.S., and the FDA and comparable foreign regulatory authorities may not accept data from such trials.</w:t>
      </w:r>
    </w:p>
    <w:p>
      <w:pPr>
        <w:spacing w:after="0" w:line="18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We may in the future choose to conduct one or more clinical trials outside the U.S. The acceptance of study data from clinical trials conducted outside the U.S. or another jurisdiction by the FDA or comparable foreign regulatory authority may be subject to certain conditions or may not be accepted at all.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for development or regulatory authorization or not receiving approval for commercialization in the applicable jurisdiction.</w:t>
      </w:r>
    </w:p>
    <w:p>
      <w:pPr>
        <w:spacing w:after="0" w:line="203"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incur additional costs or experience delays in completing, or ultimately be unable to complete, the development and commercialization of LTI-03.</w:t>
      </w:r>
    </w:p>
    <w:p>
      <w:pPr>
        <w:spacing w:after="0" w:line="166"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LTI-03, including, but not limited to:</w:t>
      </w:r>
    </w:p>
    <w:p>
      <w:pPr>
        <w:spacing w:after="0" w:line="80"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regulators or institutional review boards, or IRBs, or ethics committees may not authorize us or our investigators to commence a clinical trial or conduct a clinical trial at a prospective trial site;</w:t>
      </w:r>
    </w:p>
    <w:p>
      <w:pPr>
        <w:spacing w:after="0" w:line="5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18" w:right="1440" w:bottom="177" w:gutter="0" w:footer="0" w:header="0"/>
        </w:sectPr>
      </w:pPr>
    </w:p>
    <w:bookmarkStart w:id="46" w:name="page47"/>
    <w:bookmarkEnd w:id="46"/>
    <w:p>
      <w:pPr>
        <w:ind w:left="980"/>
        <w:spacing w:after="0" w:line="259" w:lineRule="auto"/>
        <w:rPr>
          <w:sz w:val="20"/>
          <w:szCs w:val="20"/>
          <w:color w:val="auto"/>
        </w:rPr>
      </w:pPr>
      <w:r>
        <w:rPr>
          <w:rFonts w:ascii="Times New Roman" w:cs="Times New Roman" w:eastAsia="Times New Roman" w:hAnsi="Times New Roman"/>
          <w:sz w:val="20"/>
          <w:szCs w:val="20"/>
          <w:color w:val="auto"/>
        </w:rPr>
        <w:t>we may experience delays in reaching, or we may fail to reach, agreement on acceptable terms with prospective trial sites and prospective contract research organizations, or CROs, which can be subject to extensive negotiation and may vary significantly among different CROs and trial sites;</w:t>
      </w:r>
    </w:p>
    <w:p>
      <w:pPr>
        <w:spacing w:after="0" w:line="7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the number of subjects required for clinical trials of any product candidates may be larger than we anticipate or patient recruitment and enrollment may be slow or subjects may drop out of these clinical trials or fail to return for post-treatment follow-up at a higher rate than we anticipate;</w:t>
      </w:r>
    </w:p>
    <w:p>
      <w:pPr>
        <w:spacing w:after="0" w:line="78"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76" w:lineRule="exact"/>
        <w:rPr>
          <w:sz w:val="20"/>
          <w:szCs w:val="20"/>
          <w:color w:val="auto"/>
        </w:rPr>
      </w:pPr>
    </w:p>
    <w:p>
      <w:pPr>
        <w:ind w:left="980"/>
        <w:spacing w:after="0" w:line="307" w:lineRule="auto"/>
        <w:rPr>
          <w:sz w:val="20"/>
          <w:szCs w:val="20"/>
          <w:color w:val="auto"/>
        </w:rPr>
      </w:pPr>
      <w:r>
        <w:rPr>
          <w:rFonts w:ascii="Times New Roman" w:cs="Times New Roman" w:eastAsia="Times New Roman" w:hAnsi="Times New Roman"/>
          <w:sz w:val="19"/>
          <w:szCs w:val="19"/>
          <w:color w:val="auto"/>
        </w:rPr>
        <w:t>additional delays and interruptions to our clinical trials could extend the duration of the trials and increase the overall costs to finish the trials as our fixed costs are not substantially reduced during delays;</w:t>
      </w:r>
    </w:p>
    <w:p>
      <w:pPr>
        <w:spacing w:after="0" w:line="36"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8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we may not have the financial resources available to begin and complete the planned trials, or the cost of clinical trials of any product candidates may be greater than we anticipate;</w:t>
      </w:r>
    </w:p>
    <w:p>
      <w:pPr>
        <w:spacing w:after="0" w:line="57" w:lineRule="exact"/>
        <w:rPr>
          <w:sz w:val="20"/>
          <w:szCs w:val="20"/>
          <w:color w:val="auto"/>
        </w:rPr>
      </w:pPr>
    </w:p>
    <w:p>
      <w:pPr>
        <w:jc w:val="right"/>
        <w:ind w:left="980"/>
        <w:spacing w:after="0" w:line="307" w:lineRule="auto"/>
        <w:rPr>
          <w:sz w:val="20"/>
          <w:szCs w:val="20"/>
          <w:color w:val="auto"/>
        </w:rPr>
      </w:pPr>
      <w:r>
        <w:rPr>
          <w:rFonts w:ascii="Times New Roman" w:cs="Times New Roman" w:eastAsia="Times New Roman" w:hAnsi="Times New Roman"/>
          <w:sz w:val="19"/>
          <w:szCs w:val="19"/>
          <w:color w:val="auto"/>
        </w:rPr>
        <w:t>the supply or quality of our product candidates or other materials necessary to conduct clinical trials of our product candidates may be insufficient or inadequate to initiate or complete a given clinical trial; and</w:t>
      </w:r>
    </w:p>
    <w:p>
      <w:pPr>
        <w:spacing w:after="0" w:line="36"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the FDA or other comparable foreign regulatory authorities may require us to submit additional data such as long-term toxicology studies or impose other requirements before permitting us to initiate a clinical trial.</w:t>
      </w:r>
    </w:p>
    <w:p>
      <w:pPr>
        <w:spacing w:after="0" w:line="65"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For example, we previously announced that we expect to investigate LTI-01 in an additional Phase 2 clinical trial. However, in June 2024, we decided to temporarily delay clinical development of LTI-01 in an effort to focus our resources on clinical development of LTI-03 and until additional funds are raised. In the fourth quarter of 2024, we determined that the temporary delay of further clinical development of LTI-01 may not be a short-term measure. In the fourth quarter of 2025, we decided to pause development activities related to LTI-01 for an indefinite period due to our current capital limitations. If we do not achieve our product development goals in the time 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9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ongoing and future clinical trials may reveal significant adverse events or unexpected drug-drug interactions not seen in our preclinical studies or earlier clinical studies and may result in a safety profile that could delay or prevent regulatory approval or market acceptance of any of our product candidates.</w:t>
      </w:r>
    </w:p>
    <w:p>
      <w:pPr>
        <w:spacing w:after="0" w:line="18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completed a healthy normal volunteer Phase 1a clinical trial of our clinical product candidate LTI-03. During our LTI-03 Phase 1a clinical trial, subjects experienced mild Treatment Emergent Adverse Events, or TEAEs, such as dry cough, as well as moderate or even severe TEAEs, such as wheezing, chest tightness, or decline in the amount of air a person can force from their lungs in one second. While no subject experienced a Serious Adverse Event, or SAE, it is possible that subjects in future clinical studies could develop TEAEs such as the ones experienced in the Phase 1a clinical trial, and it is possible that such the number and/or severity of such TEAEs could result in a pause or cessation of the clinical trial. We have also completed Phase 1b and Phase 2a clinical trials of our clinical product candidate LTI-01 in LPE patients. In the Phase 2a trial, four subjects experienced TEAEs, including 1 mild, 2 moderate, and 1 severe TEAE. There were no SAEs reported. The product candidate was concluded to be generally well-tolerated across all doses in trial participants.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33" w:right="1440" w:bottom="177" w:gutter="0" w:footer="0" w:header="0"/>
        </w:sectPr>
      </w:pPr>
    </w:p>
    <w:bookmarkStart w:id="47" w:name="page48"/>
    <w:bookmarkEnd w:id="47"/>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If significant adverse events or other side effects are observed in any of our ongoing or future clinical trials, whether or not related to our product candidates, we may have difficulty recruiting patients to our clinical trials, patients may drop out of our trials, or we may be required to abandon the trials or our development efforts altogether or may result in safety profile that could delay or prevent regulatory approval or market acceptance of any of our product candidates.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involves a lengthy, complex and expensive process, with an uncertain outcome.</w:t>
      </w:r>
    </w:p>
    <w:p>
      <w:pPr>
        <w:spacing w:after="0" w:line="23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the FDA approval of a new drug is dispositive data from two well-controlled, Phase 3 clinical trials of the relevant drug in the relevant patient population. Phase 3 clinical trials typically involve many patients, have significant costs and can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of candidate therapies from failure of these candidates proceeding through clinical trials. Product candidates in later stages of clinical trials may fail to show the desired safety and efficacy profile despite having progressed through preclinical studies and previous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new drugs and there can be no assurance that any of our future clinical trials will ultimately be successful or support further clinical development of LTI-03. Product candidates that appear promising in the early phases of development may fail to reach the market for several reasons, including, but not limited to:</w:t>
      </w:r>
    </w:p>
    <w:p>
      <w:pPr>
        <w:spacing w:after="0" w:line="99"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clinical trials or preclinical studies may show the product candidates to be less effective than expected (e.g., a clinical trial could fail to meet its primary endpoint(s)) or to have unacceptable side effects or toxicities;</w:t>
      </w:r>
    </w:p>
    <w:p>
      <w:pPr>
        <w:spacing w:after="0" w:line="76"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failure to establish clinical endpoints that applicable regulatory authorities would consider clinically meaningful;</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failure to receive the necessary regulatory approvals;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failure of contract manufacturers to comply with regulatory requirements;</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manufacturing costs, formulation issues, pricing or reimbursement issues, or other factors that make a product candidate uneconomical; and</w:t>
      </w:r>
    </w:p>
    <w:p>
      <w:pPr>
        <w:spacing w:after="0" w:line="5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proprietary rights of others and their competing products and technologies that may prevent one of our product candidates from being commercialized.</w:t>
      </w:r>
    </w:p>
    <w:p>
      <w:pPr>
        <w:spacing w:after="0" w:line="163"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candidates that have performed satisfactorily in clinical trials have nonetheless failed to obtain marketing approval of their products. Some of our future trials may be open label studies, where both the patient and investigator know whether a patient is receiving the investigational product candidate or either an existing approved drug or placebo. Most typically, open label clinical trials test only the investigational product candidates and sometimes do so at different dose levels.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18" w:right="1440" w:bottom="177" w:gutter="0" w:footer="0" w:header="0"/>
        </w:sectPr>
      </w:pPr>
    </w:p>
    <w:bookmarkStart w:id="48" w:name="page49"/>
    <w:bookmarkEnd w:id="48"/>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In addition, the standards that the FDA and comparable foreign regulatory authorities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the FDA policy during the period of product development and the FDA regulatory review. It is impossible to predict whether legislative changes will be enacted, or whether the FDA or foreign regulations, guidance or interpretations will be changed, or what the impact of such changes, if any, may be. The FDA also requires a panel of experts, referred to as an Advisory Committee, to deliberate on the adequacy of the safety and efficacy data to support product candidate approval. The opinion of the Advisory Committee, although not binding, may have a significant impact on our ability to obtain approval of any product candidates that we develop.</w:t>
      </w:r>
    </w:p>
    <w:p>
      <w:pPr>
        <w:spacing w:after="0" w:line="18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If we seek to conduct clinical trials in foreign countries or pursue marketing approvals in foreign jurisdictions, we must comply with numerous foreign regulatory requirements governing, among other things, the ethical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9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19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Studies involving human tissue samples may also be subject to institutional and government human subject privacy policies that may vary by territory. We or our partners which use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spacing w:after="0" w:line="202"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encounter difficulties enrolling and retaining patients in our clinical trials, our clinical development activities could be delayed or otherwise adversely affected.</w:t>
      </w:r>
    </w:p>
    <w:p>
      <w:pPr>
        <w:spacing w:after="0" w:line="167"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 but not limited to:</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patient eligibility and exclusion criteria defined in the protocol;</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size of the patient population required for analysis of the trial’s primary endpoints and the process for identifying patients;</w:t>
      </w:r>
    </w:p>
    <w:p>
      <w:pPr>
        <w:spacing w:after="0" w:line="58" w:lineRule="exact"/>
        <w:rPr>
          <w:sz w:val="20"/>
          <w:szCs w:val="20"/>
          <w:color w:val="auto"/>
        </w:rPr>
      </w:pPr>
    </w:p>
    <w:p>
      <w:pPr>
        <w:ind w:left="980" w:right="3000"/>
        <w:spacing w:after="0" w:line="380" w:lineRule="auto"/>
        <w:rPr>
          <w:sz w:val="20"/>
          <w:szCs w:val="20"/>
          <w:color w:val="auto"/>
        </w:rPr>
      </w:pPr>
      <w:r>
        <w:rPr>
          <w:rFonts w:ascii="Times New Roman" w:cs="Times New Roman" w:eastAsia="Times New Roman" w:hAnsi="Times New Roman"/>
          <w:sz w:val="20"/>
          <w:szCs w:val="20"/>
          <w:color w:val="auto"/>
        </w:rPr>
        <w:t>the willingness or availability of patients to participate in our trials; the proximity of patients to trial sites;</w:t>
      </w:r>
    </w:p>
    <w:p>
      <w:pPr>
        <w:ind w:left="480"/>
        <w:spacing w:after="0"/>
        <w:rPr>
          <w:sz w:val="20"/>
          <w:szCs w:val="20"/>
          <w:color w:val="auto"/>
        </w:rPr>
      </w:pPr>
      <w:r>
        <w:rPr>
          <w:rFonts w:ascii="Times New Roman" w:cs="Times New Roman" w:eastAsia="Times New Roman" w:hAnsi="Times New Roman"/>
          <w:sz w:val="20"/>
          <w:szCs w:val="20"/>
          <w:color w:val="auto"/>
        </w:rPr>
        <w:t>the design of the trial;</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ability to recruit clinical trial investigators with the appropriate competencies and experience;</w:t>
      </w:r>
    </w:p>
    <w:p>
      <w:pPr>
        <w:spacing w:after="0" w:line="134"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18" w:right="1440" w:bottom="177" w:gutter="0" w:footer="0" w:header="0"/>
        </w:sectPr>
      </w:pPr>
    </w:p>
    <w:bookmarkStart w:id="49" w:name="page50"/>
    <w:bookmarkEnd w:id="49"/>
    <w:p>
      <w:pPr>
        <w:ind w:left="980"/>
        <w:spacing w:after="0" w:line="279" w:lineRule="auto"/>
        <w:rPr>
          <w:sz w:val="20"/>
          <w:szCs w:val="20"/>
          <w:color w:val="auto"/>
        </w:rPr>
      </w:pPr>
      <w:r>
        <w:rPr>
          <w:rFonts w:ascii="Times New Roman" w:cs="Times New Roman" w:eastAsia="Times New Roman" w:hAnsi="Times New Roman"/>
          <w:sz w:val="20"/>
          <w:szCs w:val="20"/>
          <w:color w:val="auto"/>
        </w:rPr>
        <w:t>the availability of competing commercially available therapies and other competing product candidates’ clinical trials;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ability to obtain and maintain patient informed consents; and</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risk that patients enrolled in clinical trials will drop out of the trials or are discontinued from trials at the recommendation of the principal investigator before completion.</w:t>
      </w:r>
    </w:p>
    <w:p>
      <w:pPr>
        <w:spacing w:after="0" w:line="164"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auto"/>
        </w:rPr>
        <w:t>For example, we are developing LTI-03 for the treatment of IPF, which is an orphan indication. In the U.S., IPF is estimated to affect approximately 100,000 people. As a result, we may encounter difficulties enrolling subjects in our clinical trials of LTI-03 due, in part, to the small size of this patient population. In addition, our clinical trials could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it is possible that we would conduct some of our clinical trials at the same clinical trial sites that a competitor uses, which would reduce the number of patients who are available for our clinical trials in such clinical trial site. Certain of our planned clinical trials may also involve invasive procedures such as bronchoscopy and broncho- alveolar lavage procedure, which may lead some patients to drop out of trials to avoid these follow-up procedures. In addition, patients participating in our clinical trials may drop out before completion of the trial or experience adverse medical events unrelated to our products.</w:t>
      </w:r>
    </w:p>
    <w:p>
      <w:pPr>
        <w:spacing w:after="0" w:line="195"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approved, our product candidates that are regulated as biologics may face competition from biosimilars approved through an abbreviated regulatory pathway.</w:t>
      </w:r>
    </w:p>
    <w:p>
      <w:pPr>
        <w:spacing w:after="0" w:line="167"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or BPCIA, was enacted as part of the Patient Protection and Affordable Care Act, or ACA, to establish an abbreviated pathway for the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biologics license application, or BLA, does not rely on the reference product, sponsor’s data or submit the application as a biosimilar application.</w:t>
      </w:r>
    </w:p>
    <w:p>
      <w:pPr>
        <w:spacing w:after="0" w:line="206" w:lineRule="exact"/>
        <w:rPr>
          <w:sz w:val="20"/>
          <w:szCs w:val="20"/>
          <w:color w:val="auto"/>
        </w:rPr>
      </w:pPr>
    </w:p>
    <w:p>
      <w:pPr>
        <w:jc w:val="both"/>
        <w:ind w:firstLine="540"/>
        <w:spacing w:after="0" w:line="244" w:lineRule="auto"/>
        <w:rPr>
          <w:sz w:val="20"/>
          <w:szCs w:val="20"/>
          <w:color w:val="auto"/>
        </w:rPr>
      </w:pPr>
      <w:r>
        <w:rPr>
          <w:rFonts w:ascii="Times New Roman" w:cs="Times New Roman" w:eastAsia="Times New Roman" w:hAnsi="Times New Roman"/>
          <w:sz w:val="20"/>
          <w:szCs w:val="20"/>
          <w:color w:val="auto"/>
        </w:rPr>
        <w:t>We believe that any of the product candidates we develop that are approved in the U.S. as a biological product under a BLA may qualify for the 12-year period of exclusivity. However, there is a risk that the FDA may not grant exclusivity, this exclusivity could be shortened due to congressional action or otherwise undermined by a competitor,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20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Although we have received U.S. and EU Orphan Drug Designation for LTI-03 for IPF and U.S. and EU Orphan Drug Designation for LTI-01 for pleural empyema,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195"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Regulatory authorities in some jurisdictions, including the U.S. and other major markets, may designate drugs intended to treat conditions or diseases affecting relatively small patient populations as orphan drugs. Under the Orphan Drug Act of 1983, the FDA may designate a product candidate as an orphan drug if it is intended to treat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33" w:right="1440" w:bottom="177" w:gutter="0" w:footer="0" w:header="0"/>
        </w:sectPr>
      </w:pPr>
    </w:p>
    <w:bookmarkStart w:id="50" w:name="page51"/>
    <w:bookmarkEnd w:id="50"/>
    <w:p>
      <w:pPr>
        <w:jc w:val="both"/>
        <w:spacing w:after="0" w:line="259" w:lineRule="auto"/>
        <w:rPr>
          <w:sz w:val="20"/>
          <w:szCs w:val="20"/>
          <w:color w:val="auto"/>
        </w:rPr>
      </w:pPr>
      <w:r>
        <w:rPr>
          <w:rFonts w:ascii="Times New Roman" w:cs="Times New Roman" w:eastAsia="Times New Roman" w:hAnsi="Times New Roman"/>
          <w:sz w:val="20"/>
          <w:szCs w:val="20"/>
          <w:color w:val="auto"/>
        </w:rPr>
        <w:t>rare disease or condition, which is generally defined as having a patient population of fewer than 200,000 individuals in the U.S. or a patient population greater than 200,000 in the U.S. where there is no reasonable expectation that the cost of developing the drug will be recovered from sales in the U.S.</w:t>
      </w:r>
    </w:p>
    <w:p>
      <w:pPr>
        <w:spacing w:after="0" w:line="185"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Regulation (EC) No. 141/2000 specifies the requirements for designation as an orphan drug at the EU level. The medicinal product must be intended (i) for the treatment of a life-threatening or chronically debilitating disease affecting no more than five in 10,000 individuals in the EU, or (ii) for the treatment of a correspondingly serious condition described in the Regulation, and in both cases, without additional incentives, the marketing of the medicinal product must be unlikely to generate sufficient profit to justify the necessary investment. If one of the two alternatives applies, it is assumed that there is no other satisfactory treatment method or, if such a method exists, that the new product has a significant therapeutic benefit compared to it.</w:t>
      </w:r>
    </w:p>
    <w:p>
      <w:pPr>
        <w:spacing w:after="0" w:line="199"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Although we have received U.S. and EU Orphan Drug Designation for LTI-03 for IPF and U.S. and EU Orphan Drug Designation for LTI-01 for pleural empyema, we have not received U.S. Orphan Drug Designation for LTI-01 for LPE, which is the first indication that we are pursuing for LTI-01. Furthermore,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184"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auto"/>
        </w:rPr>
        <w:t>Generally, if a product candidate with an Orphan Drug Designation in the U.S. receives the first marketing approval for the indication for which it has such designation, the product is entitled to a period of marketing exclusivity, which precludes the FDA from approving another marketing application for a product that constitutes the same drug treating the same indication for that marketing exclusivity period, except in limited circumstances. Similar exclusivity rights apply under EU law if a product candidate with Orphan Drug Designation is authorized in the EU. Designation does not mean approval. Even if we obtain marketing authorization, the FDA may choose not to grant exclusivity. In the EU, market exclusivity only applies if the criteria for orphan drug designation still exist at the time when the marketing authorization is granted. The applicable period is seven years in the U.S. and ten years in the EU. Under EU law, the period of exclusivity may be reduced to six years if it is established, at the end of the fifth year, that the criteria for orphan drug designation are no longer met. In the U.S., orphan drug exclusivity may be revoked if the FDA determines that the request for designation was materially defective or if the manufacturer is unable to assure sufficient quantity of the product to meet the needs of patients with the rare disease or condition.</w:t>
      </w:r>
    </w:p>
    <w:p>
      <w:pPr>
        <w:spacing w:after="0" w:line="195"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us.</w:t>
      </w:r>
    </w:p>
    <w:p>
      <w:pPr>
        <w:spacing w:after="0" w:line="165"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0"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There are a number of large biopharmaceutical and biotechnology companies that are currently pursuing the commercialization or development of products for the treatment of fibrosis. Companies that we are aware of that are targeting the treatment of various fibrosis indications include large companies with significant financial resources such as, but not limited to: AbbVie Inc., Boehringer Ingelheim GmbH, Bristol Myers Squibb Company, Gilead Sciences, Inc., Roche Holding AG, and Novartis AG. 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There are currently no approved therapeutics for the treatment of LPE. Roche Holding AG manufactures tissue plasminogen activator, or tPA, and recombinant deoxyribonuclease, or DNase, which are used off-label to treat LPE patients. We are not aware of any other pharmaceutical or biotechnology companies developing drug therapies for the treatment of LPE.</w:t>
      </w:r>
    </w:p>
    <w:p>
      <w:pPr>
        <w:spacing w:after="0" w:line="200"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18" w:right="1440" w:bottom="177" w:gutter="0" w:footer="0" w:header="0"/>
        </w:sectPr>
      </w:pPr>
    </w:p>
    <w:bookmarkStart w:id="51" w:name="page52"/>
    <w:bookmarkEnd w:id="51"/>
    <w:p>
      <w:pPr>
        <w:jc w:val="both"/>
        <w:ind w:firstLine="490"/>
        <w:spacing w:after="0" w:line="259" w:lineRule="auto"/>
        <w:rPr>
          <w:sz w:val="20"/>
          <w:szCs w:val="20"/>
          <w:color w:val="auto"/>
        </w:rPr>
      </w:pPr>
      <w:r>
        <w:rPr>
          <w:rFonts w:ascii="Times New Roman" w:cs="Times New Roman" w:eastAsia="Times New Roman" w:hAnsi="Times New Roman"/>
          <w:sz w:val="19"/>
          <w:szCs w:val="19"/>
          <w:color w:val="auto"/>
        </w:rPr>
        <w:t>We face an inherent risk of product liability as a result of testing LTI-03, LTI-01 and any of our other product candidates in clinical trials, and will face an even greater risk if we commercialize any products. For example, we may be sued if any of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80" w:right="4260"/>
        <w:spacing w:after="0" w:line="380" w:lineRule="auto"/>
        <w:rPr>
          <w:sz w:val="20"/>
          <w:szCs w:val="20"/>
          <w:color w:val="auto"/>
        </w:rPr>
      </w:pPr>
      <w:r>
        <w:rPr>
          <w:rFonts w:ascii="Times New Roman" w:cs="Times New Roman" w:eastAsia="Times New Roman" w:hAnsi="Times New Roman"/>
          <w:sz w:val="20"/>
          <w:szCs w:val="20"/>
          <w:color w:val="auto"/>
        </w:rPr>
        <w:t>inability to bring a product candidate to the market; decreased demand for our products;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injury to our reputation;</w:t>
      </w:r>
    </w:p>
    <w:p>
      <w:pPr>
        <w:spacing w:after="0" w:line="133" w:lineRule="exact"/>
        <w:rPr>
          <w:sz w:val="20"/>
          <w:szCs w:val="20"/>
          <w:color w:val="auto"/>
        </w:rPr>
      </w:pPr>
    </w:p>
    <w:p>
      <w:pPr>
        <w:ind w:left="980" w:right="2120"/>
        <w:spacing w:after="0" w:line="380" w:lineRule="auto"/>
        <w:rPr>
          <w:sz w:val="20"/>
          <w:szCs w:val="20"/>
          <w:color w:val="auto"/>
        </w:rPr>
      </w:pPr>
      <w:r>
        <w:rPr>
          <w:rFonts w:ascii="Times New Roman" w:cs="Times New Roman" w:eastAsia="Times New Roman" w:hAnsi="Times New Roman"/>
          <w:sz w:val="20"/>
          <w:szCs w:val="20"/>
          <w:color w:val="auto"/>
        </w:rPr>
        <w:t>withdrawal of clinical trial participants and inability to continue clinical trials; initiation of investigations by regulators;</w:t>
      </w:r>
    </w:p>
    <w:p>
      <w:pPr>
        <w:spacing w:after="0" w:line="1" w:lineRule="exact"/>
        <w:rPr>
          <w:sz w:val="20"/>
          <w:szCs w:val="20"/>
          <w:color w:val="auto"/>
        </w:rPr>
      </w:pPr>
    </w:p>
    <w:p>
      <w:pPr>
        <w:ind w:left="980" w:right="5260"/>
        <w:spacing w:after="0" w:line="400" w:lineRule="auto"/>
        <w:rPr>
          <w:sz w:val="20"/>
          <w:szCs w:val="20"/>
          <w:color w:val="auto"/>
        </w:rPr>
      </w:pPr>
      <w:r>
        <w:rPr>
          <w:rFonts w:ascii="Times New Roman" w:cs="Times New Roman" w:eastAsia="Times New Roman" w:hAnsi="Times New Roman"/>
          <w:sz w:val="19"/>
          <w:szCs w:val="19"/>
          <w:color w:val="auto"/>
        </w:rPr>
        <w:t>fines, injunctions or criminal penalties; costs to defend the related litigation;</w:t>
      </w:r>
    </w:p>
    <w:p>
      <w:pPr>
        <w:ind w:left="980" w:right="4280"/>
        <w:spacing w:after="0" w:line="380" w:lineRule="auto"/>
        <w:rPr>
          <w:sz w:val="20"/>
          <w:szCs w:val="20"/>
          <w:color w:val="auto"/>
        </w:rPr>
      </w:pPr>
      <w:r>
        <w:rPr>
          <w:rFonts w:ascii="Times New Roman" w:cs="Times New Roman" w:eastAsia="Times New Roman" w:hAnsi="Times New Roman"/>
          <w:sz w:val="20"/>
          <w:szCs w:val="20"/>
          <w:color w:val="auto"/>
        </w:rPr>
        <w:t>diversion of management’s time and our resources; substantial monetary awards to trial participants;</w:t>
      </w:r>
    </w:p>
    <w:p>
      <w:pPr>
        <w:ind w:left="980" w:right="2060"/>
        <w:spacing w:after="0" w:line="380" w:lineRule="auto"/>
        <w:rPr>
          <w:sz w:val="20"/>
          <w:szCs w:val="20"/>
          <w:color w:val="auto"/>
        </w:rPr>
      </w:pPr>
      <w:r>
        <w:rPr>
          <w:rFonts w:ascii="Times New Roman" w:cs="Times New Roman" w:eastAsia="Times New Roman" w:hAnsi="Times New Roman"/>
          <w:sz w:val="20"/>
          <w:szCs w:val="20"/>
          <w:color w:val="auto"/>
        </w:rPr>
        <w:t>product recalls, withdrawals or labeling, marketing or promotional restrictions; loss of revenue;</w:t>
      </w:r>
    </w:p>
    <w:p>
      <w:pPr>
        <w:ind w:left="980" w:right="3280"/>
        <w:spacing w:after="0" w:line="400" w:lineRule="auto"/>
        <w:rPr>
          <w:sz w:val="20"/>
          <w:szCs w:val="20"/>
          <w:color w:val="auto"/>
        </w:rPr>
      </w:pPr>
      <w:r>
        <w:rPr>
          <w:rFonts w:ascii="Times New Roman" w:cs="Times New Roman" w:eastAsia="Times New Roman" w:hAnsi="Times New Roman"/>
          <w:sz w:val="19"/>
          <w:szCs w:val="19"/>
          <w:color w:val="auto"/>
        </w:rPr>
        <w:t>exhaustion of any available insurance and our capital resources; adverse effects to our results of operations and business;</w:t>
      </w:r>
    </w:p>
    <w:p>
      <w:pPr>
        <w:ind w:left="980" w:right="2760"/>
        <w:spacing w:after="0" w:line="420" w:lineRule="auto"/>
        <w:rPr>
          <w:sz w:val="20"/>
          <w:szCs w:val="20"/>
          <w:color w:val="auto"/>
        </w:rPr>
      </w:pPr>
      <w:r>
        <w:rPr>
          <w:rFonts w:ascii="Times New Roman" w:cs="Times New Roman" w:eastAsia="Times New Roman" w:hAnsi="Times New Roman"/>
          <w:sz w:val="20"/>
          <w:szCs w:val="20"/>
          <w:color w:val="auto"/>
        </w:rPr>
        <w:t>the inability to commercialize any product candidate, if approved; and decline in our share price.</w:t>
      </w:r>
    </w:p>
    <w:p>
      <w:pPr>
        <w:spacing w:after="0" w:line="3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Our inability to obtain sufficient product liability insurance at an acceptable cost to protect against potential product liability claims could prevent or inhibit the commercialization of products we develop, alone or with collaboration partners. We will need to obtain additional insurance for clinical trials as LTI-03 and LTI-01 continue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Marketing Approval</w:t>
      </w:r>
    </w:p>
    <w:p>
      <w:pPr>
        <w:spacing w:after="0" w:line="24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never obtained marketing approval for a product candidate and we may be unable to obtain, or may be delayed in obtaining, marketing approval for any product candidate.</w:t>
      </w:r>
    </w:p>
    <w:p>
      <w:pPr>
        <w:spacing w:after="0" w:line="167"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We have never obtained marketing approval for a product candidate. It is possible that the FDA may refuse to accept for substantive review any new drug applications, or NDAs, or biologics license applications, or BLAs, that we submit for our product candidates or may conclude after review of our data that our application is insufficient to obtain marketing approval of our product candidates. If the FDA does not accept or approve our NDAs or BLAs for our product candidates, it may require that we conduct additional clinical, nonclinical or manufacturing validation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18" w:right="1440" w:bottom="177"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20"/>
          <w:szCs w:val="20"/>
          <w:color w:val="auto"/>
        </w:rPr>
        <w:t>studies and submit that data before it reconsiders our applications. Depending on the extent of these or any other FDA-required studies, approval of any NDA or BLA, or application that we submit may be delayed by several years, or may require us to expend more resources than we have available. It is also possible that additional studies, if performed and completed, may not be considered sufficient by the FDA to approve our NDAs or BLAs.</w:t>
      </w:r>
    </w:p>
    <w:p>
      <w:pPr>
        <w:spacing w:after="0" w:line="18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93"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18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Even if LTI-03 receives marketing approval, it may nonetheless fail to gain sufficient market acceptance by physicians, patients, third -party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200"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The degree of market acceptance of any product candidate, if approved for commercial sale, will depend on a number of factors, including, but not limited to:</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efficacy and potential advantages compared to alternative treatments;</w:t>
      </w:r>
    </w:p>
    <w:p>
      <w:pPr>
        <w:spacing w:after="0" w:line="134" w:lineRule="exact"/>
        <w:rPr>
          <w:sz w:val="20"/>
          <w:szCs w:val="20"/>
          <w:color w:val="auto"/>
        </w:rPr>
      </w:pPr>
    </w:p>
    <w:p>
      <w:pPr>
        <w:jc w:val="both"/>
        <w:ind w:left="980" w:right="2340"/>
        <w:spacing w:after="0" w:line="380" w:lineRule="auto"/>
        <w:rPr>
          <w:sz w:val="20"/>
          <w:szCs w:val="20"/>
          <w:color w:val="auto"/>
        </w:rPr>
      </w:pPr>
      <w:r>
        <w:rPr>
          <w:rFonts w:ascii="Times New Roman" w:cs="Times New Roman" w:eastAsia="Times New Roman" w:hAnsi="Times New Roman"/>
          <w:sz w:val="20"/>
          <w:szCs w:val="20"/>
          <w:color w:val="auto"/>
        </w:rPr>
        <w:t>the ability to offer our products, if approved, for sale at competitive prices; convenience and ease of administration compared to alternative treatments;</w:t>
      </w:r>
    </w:p>
    <w:p>
      <w:pPr>
        <w:ind w:left="980"/>
        <w:spacing w:after="0" w:line="279" w:lineRule="auto"/>
        <w:rPr>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5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recommendations with respect to our product candidates in guidelines published by various scientific organizations applicable to us and our product candidates;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strength of marketing and distribution support;</w:t>
      </w:r>
    </w:p>
    <w:p>
      <w:pPr>
        <w:spacing w:after="0" w:line="134" w:lineRule="exact"/>
        <w:rPr>
          <w:sz w:val="20"/>
          <w:szCs w:val="20"/>
          <w:color w:val="auto"/>
        </w:rPr>
      </w:pPr>
    </w:p>
    <w:p>
      <w:pPr>
        <w:ind w:left="980" w:right="1540"/>
        <w:spacing w:after="0" w:line="420" w:lineRule="auto"/>
        <w:rPr>
          <w:sz w:val="20"/>
          <w:szCs w:val="20"/>
          <w:color w:val="auto"/>
        </w:rPr>
      </w:pPr>
      <w:r>
        <w:rPr>
          <w:rFonts w:ascii="Times New Roman" w:cs="Times New Roman" w:eastAsia="Times New Roman" w:hAnsi="Times New Roman"/>
          <w:sz w:val="20"/>
          <w:szCs w:val="20"/>
          <w:color w:val="auto"/>
        </w:rPr>
        <w:t>the ability to obtain sufficient third-party coverage, and adequate reimbursement; and the prevalence and severity of any side effects.</w:t>
      </w:r>
    </w:p>
    <w:p>
      <w:pPr>
        <w:spacing w:after="0" w:line="29"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If government and other third-party payors do not provide coverage and adequate reimbursement levels for any products we commercialize, market acceptance and commercial success would be reduced.</w:t>
      </w:r>
    </w:p>
    <w:p>
      <w:pPr>
        <w:spacing w:after="0" w:line="16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In addition, even if we obtain approval, the FDA or a comparable foreign regulatory authority might add specific warnings to the product label, making promotion more difficult. In the U.S., for example, a product with a “Boxed Warning” which is a call-out warning for the possibility of a serious, life-threatening risk, carries promotional restrictions. In addition, due to the nature of the serious risk potentially associated with the drug, necessitating the Boxed Warning, public acceptance of the product may be challenging.</w:t>
      </w:r>
    </w:p>
    <w:p>
      <w:pPr>
        <w:spacing w:after="0" w:line="19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preclinical studies and clinical trials, the marketing approval process is expensive, time-consuming and uncertain and may prevent us, or any future collaborators, from obtaining approvals for the commercialization of LTI-03, LTI-01 or any other product candidate that we may develop. As a result, we cannot predict when or if, and in which territories or for which indications, we, or any future collaborators, will obtain marketing approval to commercialize LTI-03, LTI-01 or any other product candidate that we may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18" w:right="1440" w:bottom="177" w:gutter="0" w:footer="0" w:header="0"/>
        </w:sectPr>
      </w:pPr>
    </w:p>
    <w:bookmarkStart w:id="53" w:name="page54"/>
    <w:bookmarkEnd w:id="53"/>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The research, testing, manufacturing, labeling, approval, selling, marketing, promotion and distribution of drugs are subject to extensive regulation by the FDA and comparable foreign regulatory authorities, whose laws and regulations may differ from country to country. We, and any future collaborators, are not permitted to market our product candidates in the U.S. or in other countries until we or they receive approval of an NDA or BLA from the FDA or marketing approval from comparable foreign regulatory authorities. LTI-03 is in mid-stage of development and is subject to the risks of failure inherent in drug development. We have not submitted an application for or received marketing approval for LTI-03 in the U.S. or in any other jurisdiction. We have limited experience in conducting and managing the clinical trials necessary to obtain marketing approvals, including the FDA approval of an NDA or BLA.</w:t>
      </w:r>
    </w:p>
    <w:p>
      <w:pPr>
        <w:spacing w:after="0" w:line="18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process of obtaining marketing approvals, both in the U.S.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such as the aforementioned Boxed Warning in the product label, or post-approval commitments that render the approved product not commercially viable.</w:t>
      </w:r>
    </w:p>
    <w:p>
      <w:pPr>
        <w:spacing w:after="0" w:line="206"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Further, the FDA may determine that we must provide additional evidence and data before approving a BLA or NDA for our candidate products. For example, the FDA reviews an application to determine whether there is “substantial evidence” to support a finding of effectiveness for the proposed product for its intended use(s), the FDA has interpreted this evidentiary standard to generally require at least two adequate and well-controlled clinical trials to establish effectiveness of a new product. Under certain circumstances, however, the FDA has indicated that a single trial with certain characteristics and additional confirmatory evidence may satisfy this standard. The FDA issued draft guidance in September 2023 that outlines considerations for relying on confirmatory evidence in lieu of a second clinical trial to demonstrate effectiveness. In the event that we submit a BLA or NDA on the basis of one clinical trial and confirmatory evidence, the FDA could determine that such information is not sufficient to support approval of the application and the agency could require us to conduct an additional trial in support of the BLA or NDA.</w:t>
      </w:r>
    </w:p>
    <w:p>
      <w:pPr>
        <w:spacing w:after="0" w:line="191"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87"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 in foreign jurisdictions would prevent our product candidates from being marketed abroad. Any approval we are granted for LTI-03 or LTI-01 in the U.S. would not assure approval of our product candidates in foreign jurisdictions.</w:t>
      </w:r>
    </w:p>
    <w:p>
      <w:pPr>
        <w:spacing w:after="0" w:line="18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order to market and sell our products in the EU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U.S. generally includes all of the risks associated with obtaining FDA approval. In addition, in many countries outside of the U.S., it is required that the product be approved for reimbursement before the product can be approved for sale in that country. We or our potential third-party collaborators may not obtain approvals from regulatory authorities outside of the U.S. on a timely basis, if at all. Approval by the FDA does not ensure approval by regulatory authorities in other countries or jurisdictions, and approval by one regulatory authority outside of the U.S.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candidates in any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18" w:right="1440" w:bottom="177" w:gutter="0" w:footer="0" w:header="0"/>
        </w:sectPr>
      </w:pPr>
    </w:p>
    <w:bookmarkStart w:id="54" w:name="page55"/>
    <w:bookmarkEnd w:id="54"/>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 many countries outside the U.S.,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could delay or prevent the introduction of our product candidates in certain countries. In addition, if we fail to obtain the non -U.S. approvals required to market our product candidates outside the U.S. or if we fail to comply with applicable non -U.S. regulatory requirements, our target markets will be reduced and our ability to realize the full market potential of our product candidates will be harmed and our business, financial condition, results of operations and prospects may be adversely affected.</w:t>
      </w:r>
    </w:p>
    <w:p>
      <w:pPr>
        <w:spacing w:after="0" w:line="20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Any delay in obtaining, or an inability to obtain, any marketing approvals, as a result of Brexit or otherwise, may force us to restrict or delay efforts to seek regulatory approval in the UK for our product candidates, which could significantly and materially harm our business. 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The design or execution of our ongoing and future clinical trials may not support marketing approval.</w:t>
      </w:r>
    </w:p>
    <w:p>
      <w:pPr>
        <w:spacing w:after="0" w:line="11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The design or execution of a clinical trial can determine whether its results will support marketing approval, and flaws in the design or execution of a clinical trial may not become apparent until the clinical trial is well advanced. We completed a Phase 2a dose-ranging, placebo-controlled trial of LTI-01 in LPE patients. We may need to investigate higher or lower doses of LTI-01 in future clinical trials to establish efficacy and safety. Additionally, as no drug has been approved for LPE, our Phase 2a primary endpoint of treatment failure, defined as death or referral to surgery by a specific criteria checklist within seven days of commencing treatment may not be considered an appropriate endpoint for approval by the regulatory authorities. The trial results did not show statistical significance on the primary endpoint. Additionally, our highest dose of LTI-01 in this trial showed a lower effect than the other LTI-01 doses tested. Based on the results of this trial, we expect to investigate LTI-01 in a Phase 2b dose-ranging, placebo-controlled clinical trial with a lower dose to establish efficacy and safety. However, in June 2024, we decided to temporarily delay clinical development of LTI-01 in an effort to focus our resources on clinical development of LTI-03 and until additional funds are raised. In the fourth quarter of 2024, we determined that the temporary delay of further clinical development of LTI-01 may not be a short-term measure. In the fourth quarter of 2025, we decided to pause development activities related to LTI-01 for an indefinite period. Even with additional clinical trial testing with a modified primary endpoint, we may never be successful in demonstrating sufficient results to support marketing approval.</w:t>
      </w:r>
    </w:p>
    <w:p>
      <w:pPr>
        <w:spacing w:after="0" w:line="210" w:lineRule="exact"/>
        <w:rPr>
          <w:sz w:val="20"/>
          <w:szCs w:val="20"/>
          <w:color w:val="auto"/>
        </w:rPr>
      </w:pPr>
    </w:p>
    <w:p>
      <w:pPr>
        <w:jc w:val="both"/>
        <w:ind w:firstLine="490"/>
        <w:spacing w:after="0" w:line="266" w:lineRule="auto"/>
        <w:rPr>
          <w:sz w:val="20"/>
          <w:szCs w:val="20"/>
          <w:color w:val="auto"/>
        </w:rPr>
      </w:pPr>
      <w:r>
        <w:rPr>
          <w:rFonts w:ascii="Times New Roman" w:cs="Times New Roman" w:eastAsia="Times New Roman" w:hAnsi="Times New Roman"/>
          <w:sz w:val="19"/>
          <w:szCs w:val="19"/>
          <w:color w:val="auto"/>
        </w:rPr>
        <w:t>Additionally, in some instances, there can be significant variability in safety or efficacy results between different clinical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17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clinical trials or preclinical studies.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or a more restrictive label than we expect (e.g., Boxed Warning). Similarly, the FDA or comparable foreign regulatory authorities may not approve the labeling claims that we believe would be necessary or desirable for the successful commercialization of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18" w:right="1440" w:bottom="177" w:gutter="0" w:footer="0" w:header="0"/>
        </w:sectPr>
      </w:pPr>
    </w:p>
    <w:bookmarkStart w:id="55" w:name="page56"/>
    <w:bookmarkEnd w:id="55"/>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8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the FDA or comparable foreign regulatory authorities approve generic or competitor versions of any of our drugs that receive marketing approval, or such authorities do not grant our drugs appropriate periods of data or market exclusivity before approving generic or competitor versions of our drugs, the sales of our drugs could be adversely affected.</w:t>
      </w:r>
    </w:p>
    <w:p>
      <w:pPr>
        <w:spacing w:after="0" w:line="191"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Once an NDA is approved, the drug covered thereby becomes a “reference-listed drug” in the FDA’s publication, “Approved Drug Products with Therapeutic Equivalence Evaluations”. Manufacturers may seek approval of generic versions of reference-listed drugs through submission of ANDAs in the U.S. In support of an ANDA, a generic manufacturer need not conduct clinical trials demonstrating safety and efficacy. Rather, the applicant generally must show that its drug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19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or NCE. Specifically, in cases where such exclusivity has been granted, an ANDA may not be filed with the FDA and the FDA may not approve the application until the expiration of five years unless the submission is accompanied by a Paragraph IV certification that a patent covering the reference-listed drug is either invalid, will not be infringed by the generic drug, or unenforceable, in which case the applicant may submit its application four years following approval of the reference-listed drug. Manufacturers may seek to launch these generic drugs following the expiration of the marketing exclusivity period, even if we still have patent protection for our drug.</w:t>
      </w:r>
    </w:p>
    <w:p>
      <w:pPr>
        <w:spacing w:after="0" w:line="20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Competition that our drugs may face from generic or competitor versions of our drugs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drugs, if and when approved, are not afforded the appropriate periods of non-patent exclusivity.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Reimbursement, Healthcare Regulations and Ongoing Regulatory Compliance</w:t>
      </w:r>
    </w:p>
    <w:p>
      <w:pPr>
        <w:spacing w:after="0" w:line="24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 if approved.</w:t>
      </w:r>
    </w:p>
    <w:p>
      <w:pPr>
        <w:spacing w:after="0" w:line="19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If any of our product candidates are approved, they will be subject to ongoing regulatory requirements for manufacturing, labeling, packaging, distribution, adverse event reporting,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GCP requirements for any clinical trials that we conduct post-approval.</w:t>
      </w:r>
    </w:p>
    <w:p>
      <w:pPr>
        <w:spacing w:after="0" w:line="20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18" w:right="1440" w:bottom="177" w:gutter="0" w:footer="0" w:header="0"/>
        </w:sectPr>
      </w:pPr>
    </w:p>
    <w:bookmarkStart w:id="56" w:name="page57"/>
    <w:bookmarkEnd w:id="56"/>
    <w:p>
      <w:pPr>
        <w:jc w:val="both"/>
        <w:spacing w:after="0" w:line="306" w:lineRule="auto"/>
        <w:rPr>
          <w:sz w:val="20"/>
          <w:szCs w:val="20"/>
          <w:color w:val="auto"/>
        </w:rPr>
      </w:pPr>
      <w:r>
        <w:rPr>
          <w:rFonts w:ascii="Times New Roman" w:cs="Times New Roman" w:eastAsia="Times New Roman" w:hAnsi="Times New Roman"/>
          <w:sz w:val="19"/>
          <w:szCs w:val="19"/>
          <w:color w:val="auto"/>
        </w:rPr>
        <w:t>responses to inspection observations. Accordingly, we and others with whom we work must continue to expend time, money, and effort in all areas of regulatory compliance, including manufacturing, production, and quality control.</w:t>
      </w:r>
    </w:p>
    <w:p>
      <w:pPr>
        <w:spacing w:after="0" w:line="14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Any regulatory approvals that we receive for our product candidates may be subject to limitations on the approved indicated uses for which the product may be marketed or to the conditions of approval, contain requirements for potentially costly post-marketing testing, including Phase 4 clinical trials and surveillance to monitor the safety and efficacy of the product candidate, or include specific safety-related label warnings that could affect marketing efforts.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0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seek to obtain certain regulatory designations for our product candidates. We may not receive such designations, and even if we do, such designation may not lead to a faster development or regulatory review or approval process.</w:t>
      </w:r>
    </w:p>
    <w:p>
      <w:pPr>
        <w:spacing w:after="0" w:line="183"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may seek to obtain breakthrough therapy designation, fast track designation, or priority review designation for our product candidates. A breakthrough therapy is defined as a drug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The FDA fast track designation is possible for drugs intended for the treatment of a serious condition and nonclinical or clinical data demonstrate the potential to address unmet medical need for this condition. In addition, if the FDA determines that a product candidate offers a treatment for a serious condition and, if approved, the product would provide a significant improvement in safety or effectiveness, the FDA may designate the product candidate for priority review. Drugs designated as breakthrough therapies by the FDA may also be eligible for priority review if supported by clinical data at the time an NDA is submitted to the FDA.</w:t>
      </w:r>
    </w:p>
    <w:p>
      <w:pPr>
        <w:spacing w:after="0" w:line="19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Such regulatory designations are within the discretion of the FDA, and the FDA may not approve any application that we submit. Even if we were to obtain breakthrough designation or fast track designation, the FDA may subsequently withdraw such designation if the FDA determines that the designation no longer meets the conditions for qualification or is no longer supported by data from our clinical development program. In addition, receipt of any such designations may not result in a faster development or regulatory review or approval process compared to drugs considered for approval under conventional FDA procedures and does not assure ultimate approval by the FDA of any drug candidates so designated.</w:t>
      </w:r>
    </w:p>
    <w:p>
      <w:pPr>
        <w:spacing w:after="0" w:line="201"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490"/>
        <w:spacing w:after="0" w:line="266" w:lineRule="auto"/>
        <w:rPr>
          <w:sz w:val="20"/>
          <w:szCs w:val="20"/>
          <w:color w:val="auto"/>
        </w:rPr>
      </w:pPr>
      <w:r>
        <w:rPr>
          <w:rFonts w:ascii="Times New Roman" w:cs="Times New Roman" w:eastAsia="Times New Roman" w:hAnsi="Times New Roman"/>
          <w:sz w:val="19"/>
          <w:szCs w:val="19"/>
          <w:color w:val="auto"/>
        </w:rPr>
        <w:t>We may seek approval of any of our current and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spacing w:after="0" w:line="17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18" w:right="1440" w:bottom="177" w:gutter="0" w:footer="0" w:header="0"/>
        </w:sectPr>
      </w:pPr>
    </w:p>
    <w:bookmarkStart w:id="57" w:name="page58"/>
    <w:bookmarkEnd w:id="57"/>
    <w:p>
      <w:pPr>
        <w:jc w:val="both"/>
        <w:spacing w:after="0" w:line="279" w:lineRule="auto"/>
        <w:rPr>
          <w:sz w:val="20"/>
          <w:szCs w:val="20"/>
          <w:color w:val="auto"/>
        </w:rPr>
      </w:pPr>
      <w:r>
        <w:rPr>
          <w:rFonts w:ascii="Times New Roman" w:cs="Times New Roman" w:eastAsia="Times New Roman" w:hAnsi="Times New Roman"/>
          <w:sz w:val="20"/>
          <w:szCs w:val="20"/>
          <w:color w:val="auto"/>
        </w:rPr>
        <w:t>accelerated approval preapproval of promotional materials, which could adversely impact the timing of the commercial launch of the product.</w:t>
      </w:r>
    </w:p>
    <w:p>
      <w:pPr>
        <w:spacing w:after="0" w:line="16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There can be no assurance that the FDA will agree with any proposed surrogate endpoints or that we will decide to pursue or submit a BLA or NDA for accelerated approval or any other form of expedited development, review or approval for any of our current or future product candidates. Similarly, there can be no assurance that, after feedback from the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203"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5"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may also result in substantial fines, penalties or other sanctions.</w:t>
      </w:r>
    </w:p>
    <w:p>
      <w:pPr>
        <w:spacing w:after="0" w:line="20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or other work- 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 and as such we would have to pay the full amount of any resultant liability out of pocket, which could significantly impair our financial condition.</w:t>
      </w:r>
    </w:p>
    <w:p>
      <w:pPr>
        <w:spacing w:after="0" w:line="202"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Additional laws and regulations governing international operations could negatively impact or restrict our operations.</w:t>
      </w:r>
    </w:p>
    <w:p>
      <w:pPr>
        <w:spacing w:after="0" w:line="167"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If we expand our operations outside of the U.S., we must dedicate additional resources to comply with numerous laws and regulations in each jurisdiction in which we plan to operate.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18" w:right="1440" w:bottom="177" w:gutter="0" w:footer="0" w:header="0"/>
        </w:sectPr>
      </w:pPr>
    </w:p>
    <w:bookmarkStart w:id="58" w:name="page59"/>
    <w:bookmarkEnd w:id="58"/>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the FCPA enforcement actions. Various laws, regulations and executive orders also restrict the use and dissemination outside of the U.S., or the sharing with certain non-U.S. nationals, of information products classified for national security purposes, as well as certain products, technology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208"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The failure to comply with laws governing international business practices may result in substantial civil and criminal penalties and suspension or debarment from government contracting.</w:t>
      </w:r>
    </w:p>
    <w:p>
      <w:pPr>
        <w:spacing w:after="0" w:line="167"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U.S. and international trade policies, particularly with respect to China, may adversely impact our business and operating results.</w:t>
      </w:r>
    </w:p>
    <w:p>
      <w:pPr>
        <w:spacing w:after="0" w:line="165"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currently rely on foreign third-party manufacturers, including those in China. The U.S. government and persons involved in the Trump administration have made statements and taken certain actions that may lead to potential changes to U.S. and international trade policies. In February 2025, the U.S. government announced a 10% tariff on imports from China. If maintained and if extended to other countries, tariffs and the potential escalation of trade disputes with China and other countries could pose a significant risk to our business and could result in higher operating expenses. The extent and duration of any tariffs and the resulting impact on general economic conditions and on our business are uncertain and depend on various factors, such as negotiations between the United States and China and/or other countries, the response of such countries, exemptions or exclusions that may be granted, availability and cost of alternative sources of supply of materials we purchase from companies in China or other countries targeted with tariffs.</w:t>
      </w:r>
    </w:p>
    <w:p>
      <w:pPr>
        <w:spacing w:after="0" w:line="202"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Trade tensions and conflicts between the U.S. and China have been escalating in recent years and, as such, we are exposed to the possibility of product supply disruption and increased costs and expenses in the event of changes to the laws, rules, regulations and policies of the governments of the U.S.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or services to us. In 2024, the U.S. House of Representatives passed the BIOSECURE Act, and the Senate has advanced a substantially similar bill. Though such legislation was not enacted into law in 2024, Congress could re-introduce similar measures, which legislation, if passed and enacted into law,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It is possible some of our contractual counterparties could be impacted by such legislation.</w:t>
      </w:r>
    </w:p>
    <w:p>
      <w:pPr>
        <w:spacing w:after="0" w:line="20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Any unfavorable government policies on international trade, such as export controls, capital controls or tariffs, may increase the cost of manufacturing our product candidates and platform materials, affect the demand for our drug products (if and once approved), the competitive position of our product candidates, and import or export of raw materials and finished product candidate used in our and our collaborators’ preclinical studies and clinical trials, particularly with respect to any product candidates and materials that we import from China. If any new tariffs, export controls, legislation and/or regulations are implemented, or if existing trade agreements are renegotiated or, in particular, if either the U.S. or Chinese government takes retaliatory trade actions due to the recent trade tension, such changes could have an adverse effect on our business, financial condition and results of operations.</w:t>
      </w:r>
    </w:p>
    <w:p>
      <w:pPr>
        <w:spacing w:after="0" w:line="205"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18" w:right="1440" w:bottom="177" w:gutter="0" w:footer="0" w:header="0"/>
        </w:sectPr>
      </w:pPr>
    </w:p>
    <w:bookmarkStart w:id="59" w:name="page60"/>
    <w:bookmarkEnd w:id="59"/>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206"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9"/>
          <w:szCs w:val="19"/>
          <w:color w:val="auto"/>
        </w:rPr>
        <w:t>In addition to our operations in the U.S., we may seek to conduct clinical trials in the EEA and may become subject to additional European data protection laws, regulations and guidelines. The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U.S., providing details to those individuals regarding the processing of their personal health and other sensitive data, obtaining consent to certain processing activities from the individuals to whom the personal data relates,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The GDPR provides for substantial penalties to which we could be subject in the event of any non-compliance, including fines of up to 10,000,000 Euros or up to two percent of our total worldwide annual revenues, whichever is greater, for certain comparatively minor offenses, or up to 20,000,000 Euros or up to four percent of our total worldwide annual revenues,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and recent court decisions and regulatory guidance have substantially increased the compliance burden and legal uncertainty associated with transferring the personal data of EEA individuals to third countries outside of the EEA whose data protection laws are not believed to be adequate by European standards (although the recent EU-US Data Privacy Framework offers a new route for data transfers from the EU to be made lawfully to the U.S.).</w:t>
      </w:r>
    </w:p>
    <w:p>
      <w:pPr>
        <w:spacing w:after="0" w:line="19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Further, the GDPR provides for opening clauses in certain areas, which enable the legislators of member states of the EU to implement additional requirements to the GDPR in national law, whereby national laws may partially deviate from the GDPR and impose different obligations from country to country, so that we do not expect to operate in a uniform legal landscape in the EEA.</w:t>
      </w:r>
    </w:p>
    <w:p>
      <w:pPr>
        <w:spacing w:after="0" w:line="189"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auto"/>
        </w:rPr>
        <w:t>Also, as it relates to processing and transfer of genetic, biometric and health data, the GDPR specifically allows national laws to impose additional and more specific requirements or restrictions, and European laws have historically differed quite substantially in this field, leading to additional uncertainty. The UK’s decision to leave the EU (and it is important to note that the EEA does not include the UK), often referred to as Brexit, has created uncertainty with regard to data protection regulation in the UK and to what extent UK law will diverge from the GDPR in the future. At this point in time, the UK Government has incorporated the GDPR into UK law, known as the “UK GDPR”, but has also published proposals recently to reform UK data protection law which are going through the UK Parliament and likely to become law in 2024. In the context of international data transfers, European Commission has issued adequacy decisions which have the effect of authorizing data transfers from the EEA to the UK. The UK Government and the Information Commissioner’s Office have also published proposals recently to indicate how data transfers between the UK and the rest of the world will be regulated now that the UK has left the EU. For instance, the UK Government proposes recognizing more countries as adequate for data transfers as part of reducing barriers to data flows—this would include countries not yet authorized by the European Commission. The UK Government has also approved the UK Extension to the EU-US Data Privacy Framework for data transfers from the UK to the U.S.</w:t>
      </w:r>
    </w:p>
    <w:p>
      <w:pPr>
        <w:spacing w:after="0" w:line="198"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19"/>
          <w:szCs w:val="19"/>
          <w:color w:val="auto"/>
        </w:rPr>
        <w:t>The GDPR increases our responsibility and liability in relation to personal data that we process where such processing is subject to the GDPR, and we may be required to put in place additional mechanisms and safeguards to ensure compliance with the GDPR, including as implemented by individual countries. Compliance with the GDPR is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18" w:right="1440" w:bottom="177" w:gutter="0" w:footer="0" w:header="0"/>
        </w:sectPr>
      </w:pPr>
    </w:p>
    <w:bookmarkStart w:id="60" w:name="page61"/>
    <w:bookmarkEnd w:id="60"/>
    <w:p>
      <w:pPr>
        <w:jc w:val="both"/>
        <w:spacing w:after="0" w:line="242" w:lineRule="auto"/>
        <w:rPr>
          <w:sz w:val="20"/>
          <w:szCs w:val="20"/>
          <w:color w:val="auto"/>
        </w:rPr>
      </w:pPr>
      <w:r>
        <w:rPr>
          <w:rFonts w:ascii="Times New Roman" w:cs="Times New Roman" w:eastAsia="Times New Roman" w:hAnsi="Times New Roman"/>
          <w:sz w:val="20"/>
          <w:szCs w:val="20"/>
          <w:color w:val="auto"/>
        </w:rPr>
        <w:t>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face uncertainty as to whether our efforts to comply with our obligations under European data protection laws are sufficient, and personal data transfers from the EEA to the U.S. (which include accessing in the U.S. personal data from EEA individuals, even if the data actually remains stored in the EEA) may face particular scrutiny.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212"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6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 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0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18" w:right="1440" w:bottom="177" w:gutter="0" w:footer="0" w:header="0"/>
        </w:sectPr>
      </w:pPr>
    </w:p>
    <w:bookmarkStart w:id="61" w:name="page62"/>
    <w:bookmarkEnd w:id="61"/>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same is true of disruptions related to public health emergencies that have occurred or that may occur in the future. For example, during the COVID-19 pandemic, a number of companies announced receipt of complete response letters due to the FDA’s inability to complete required inspections for their applications. The FDA has now indicated that it can and will conduct timely reviews of applications for medical products in line with its user fee performance goals, including conducting mission critical domestic and foreign inspections to ensure compliance of manufacturing facilities with FDA quality standards. However, in the event of a resurgence of the COVID-19 pandemic or another similar public health emergency in the future, the FDA may not be able to continue its current pace and review timelines could be extended. Regulatory authorities outside the U.S. facing similar circumstances may adopt similar restrictions or other policy measures in response to future emergencies and may also experience delays in their regulatory activities.</w:t>
      </w:r>
    </w:p>
    <w:p>
      <w:pPr>
        <w:spacing w:after="0" w:line="201"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application of newly developed artificial intelligence and other technologies which are widely anticipated to reduce the development time to bring new products to market may materially increase the volume of applications for product approval to the FDA compared to historical application levels. If this increased application volume materializes and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 Accordingly, if a prolonged government shutdown or other disruption occurs, or the volume of application to the FDA for new product candidates increases materially,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20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Further,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There is also uncertainty as to how other measures being implemented by the Trump Administration across the government will our activities and those of the FDA and its operations. For example, the potential loss of the FDA personnel could lead to further disruptions and delays in FDA review of our product candidates. Similarly, efforts by the new administration to substantially reduce research funding by the National Institutes of Health of medical research could have substantial direct or indirect impacts on our research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4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certain aspects of our clinical trials and preclinical studies.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191"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depend upon third parties to conduct certain aspects of our clinical trials and preclinical studies,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91"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or other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clinical trials or preclinical studies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18" w:right="1440" w:bottom="177" w:gutter="0" w:footer="0" w:header="0"/>
        </w:sectPr>
      </w:pPr>
    </w:p>
    <w:bookmarkStart w:id="62" w:name="page63"/>
    <w:bookmarkEnd w:id="62"/>
    <w:p>
      <w:pPr>
        <w:jc w:val="both"/>
        <w:spacing w:after="0" w:line="279" w:lineRule="auto"/>
        <w:rPr>
          <w:sz w:val="20"/>
          <w:szCs w:val="20"/>
          <w:color w:val="auto"/>
        </w:rPr>
      </w:pPr>
      <w:r>
        <w:rPr>
          <w:rFonts w:ascii="Times New Roman" w:cs="Times New Roman" w:eastAsia="Times New Roman" w:hAnsi="Times New Roman"/>
          <w:sz w:val="20"/>
          <w:szCs w:val="20"/>
          <w:color w:val="auto"/>
        </w:rPr>
        <w:t>before approving our marketing applications. We cannot be certain that, upon inspection, such regulatory authorities will determine that any of our clinical trials comply with the GCP requirements.</w:t>
      </w:r>
    </w:p>
    <w:p>
      <w:pPr>
        <w:spacing w:after="0" w:line="16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1"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Any third parties conducting aspects of our clinical trials or preclinical studies will not be our employees and, except for remedies that may be available to us under our agreements with such third parties, we cannot control whether or not they devote sufficient time and resources to our clinical programs and preclinical studies.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0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If any of our relationships with these third-party CROs or others terminate, we may not be able to enter into arrangements with alternative CROs or other third parties or to do so on commercially reasonable terms. Switching or adding additional CROs might require prior regulatory approvals or notifications and involves additional cost. Furthermore, it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183"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rely on third-party contract manufacturers to manufacture our product candidates for clinical trials and preclinical studies.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w:t>
      </w:r>
    </w:p>
    <w:p>
      <w:pPr>
        <w:spacing w:after="0" w:line="191"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auto"/>
        </w:rPr>
        <w:t>The manufacturing process for a product candidate is subject to the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or on a delayed basis.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may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18" w:right="1440" w:bottom="177" w:gutter="0" w:footer="0" w:header="0"/>
        </w:sectPr>
      </w:pPr>
    </w:p>
    <w:bookmarkStart w:id="63" w:name="page64"/>
    <w:bookmarkEnd w:id="63"/>
    <w:p>
      <w:pPr>
        <w:jc w:val="both"/>
        <w:spacing w:after="0" w:line="279" w:lineRule="auto"/>
        <w:rPr>
          <w:sz w:val="20"/>
          <w:szCs w:val="20"/>
          <w:color w:val="auto"/>
        </w:rPr>
      </w:pPr>
      <w:r>
        <w:rPr>
          <w:rFonts w:ascii="Times New Roman" w:cs="Times New Roman" w:eastAsia="Times New Roman" w:hAnsi="Times New Roman"/>
          <w:sz w:val="20"/>
          <w:szCs w:val="20"/>
          <w:color w:val="auto"/>
        </w:rPr>
        <w:t>budget. In addition, the new manufacturer must comply with the aforementioned quality-related regulatory requirements.</w:t>
      </w:r>
    </w:p>
    <w:p>
      <w:pPr>
        <w:spacing w:after="0" w:line="16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We expect to continue to rely on third-party manufacturers if we receive regulatory approval for LTI-03.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or other requirements could adversely affect our business in a number of ways, including, but not limited to:</w:t>
      </w:r>
    </w:p>
    <w:p>
      <w:pPr>
        <w:spacing w:after="0" w:line="96" w:lineRule="exact"/>
        <w:rPr>
          <w:sz w:val="20"/>
          <w:szCs w:val="20"/>
          <w:color w:val="auto"/>
        </w:rPr>
      </w:pPr>
    </w:p>
    <w:p>
      <w:pPr>
        <w:ind w:left="980" w:right="1200"/>
        <w:spacing w:after="0" w:line="380" w:lineRule="auto"/>
        <w:rPr>
          <w:sz w:val="20"/>
          <w:szCs w:val="20"/>
          <w:color w:val="auto"/>
        </w:rPr>
      </w:pPr>
      <w:r>
        <w:rPr>
          <w:rFonts w:ascii="Times New Roman" w:cs="Times New Roman" w:eastAsia="Times New Roman" w:hAnsi="Times New Roman"/>
          <w:sz w:val="20"/>
          <w:szCs w:val="20"/>
          <w:color w:val="auto"/>
        </w:rPr>
        <w:t>an inability to initiate or continue clinical trials of product candidates under development; imposition of a clinical hold;</w:t>
      </w:r>
    </w:p>
    <w:p>
      <w:pPr>
        <w:ind w:left="480"/>
        <w:spacing w:after="0"/>
        <w:rPr>
          <w:sz w:val="20"/>
          <w:szCs w:val="20"/>
          <w:color w:val="auto"/>
        </w:rPr>
      </w:pPr>
      <w:r>
        <w:rPr>
          <w:rFonts w:ascii="Times New Roman" w:cs="Times New Roman" w:eastAsia="Times New Roman" w:hAnsi="Times New Roman"/>
          <w:sz w:val="20"/>
          <w:szCs w:val="20"/>
          <w:color w:val="auto"/>
        </w:rPr>
        <w:t>initiation of an Import Alert or Automatic Detection;</w:t>
      </w:r>
    </w:p>
    <w:p>
      <w:pPr>
        <w:spacing w:after="0" w:line="134" w:lineRule="exact"/>
        <w:rPr>
          <w:sz w:val="20"/>
          <w:szCs w:val="20"/>
          <w:color w:val="auto"/>
        </w:rPr>
      </w:pPr>
    </w:p>
    <w:p>
      <w:pPr>
        <w:ind w:left="980" w:right="240"/>
        <w:spacing w:after="0" w:line="380" w:lineRule="auto"/>
        <w:rPr>
          <w:sz w:val="20"/>
          <w:szCs w:val="20"/>
          <w:color w:val="auto"/>
        </w:rPr>
      </w:pPr>
      <w:r>
        <w:rPr>
          <w:rFonts w:ascii="Times New Roman" w:cs="Times New Roman" w:eastAsia="Times New Roman" w:hAnsi="Times New Roman"/>
          <w:sz w:val="20"/>
          <w:szCs w:val="20"/>
          <w:color w:val="auto"/>
        </w:rPr>
        <w:t>delay in submitting regulatory applications, or receiving regulatory approvals, for product candidates; loss of the cooperation of an existing or future collaborator;</w:t>
      </w:r>
    </w:p>
    <w:p>
      <w:pPr>
        <w:ind w:left="980"/>
        <w:spacing w:after="0" w:line="280" w:lineRule="auto"/>
        <w:rPr>
          <w:sz w:val="20"/>
          <w:szCs w:val="20"/>
          <w:color w:val="auto"/>
        </w:rPr>
      </w:pPr>
      <w:r>
        <w:rPr>
          <w:rFonts w:ascii="Times New Roman" w:cs="Times New Roman" w:eastAsia="Times New Roman" w:hAnsi="Times New Roman"/>
          <w:sz w:val="20"/>
          <w:szCs w:val="20"/>
          <w:color w:val="auto"/>
        </w:rPr>
        <w:t>subjecting third-party manufacturing facilities or our manufacturing facilities to additional inspections by regulatory authorities;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requirements to cease distribution or to recall batches of our product candidates;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increase manufacturing costs for delays and/or finding replacement manufacturers; and</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in the event of approval to market and commercialize a product candidate, an inability to meet commercial demands for our products.</w:t>
      </w:r>
    </w:p>
    <w:p>
      <w:pPr>
        <w:spacing w:after="0" w:line="16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 addition, we contract with fill and finishing providers with the appropriate expertise, facilities and scale to meet our needs. Failure to maintain cGMP and other regulatory compliance can result in a contractor receiving sanctions by the FDA or another foreign regulatory agency, which can impact our ability to operate or lead to delays in any clinical development programs. We believe that our current fill and finish contractors are operating in accordance with cGMP and other regulatory requirements, but we can give no assurance that the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w:t>
      </w:r>
    </w:p>
    <w:p>
      <w:pPr>
        <w:spacing w:after="0" w:line="203"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depend on sole-source third-party suppliers for materials that are necessary for the conduct of preclinical studies and manufacture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19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Manufacturing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that any of these suppliers breach their contracts with us, our legal remedies associated with such a breach may be insufficient to compensate us for any damages we may suffer.</w:t>
      </w:r>
    </w:p>
    <w:p>
      <w:pPr>
        <w:spacing w:after="0" w:line="201"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In addition, we developed the cell line and manufacturing process for drug substance manufacture in collaboration with our sole manufacturer. The loss of this contract development and manufacturing company,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18" w:right="1440" w:bottom="177" w:gutter="0" w:footer="0" w:header="0"/>
        </w:sectPr>
      </w:pPr>
    </w:p>
    <w:bookmarkStart w:id="64" w:name="page65"/>
    <w:bookmarkEnd w:id="64"/>
    <w:p>
      <w:pPr>
        <w:jc w:val="both"/>
        <w:spacing w:after="0" w:line="245" w:lineRule="auto"/>
        <w:rPr>
          <w:sz w:val="20"/>
          <w:szCs w:val="20"/>
          <w:color w:val="auto"/>
        </w:rPr>
      </w:pPr>
      <w:r>
        <w:rPr>
          <w:rFonts w:ascii="Times New Roman" w:cs="Times New Roman" w:eastAsia="Times New Roman" w:hAnsi="Times New Roman"/>
          <w:sz w:val="20"/>
          <w:szCs w:val="20"/>
          <w:color w:val="auto"/>
        </w:rPr>
        <w:t>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 Some of our CDMO’s raw material suppliers may not have the capacity to support clinical trials and commercial products manufactured under cGMP or other regulatory requirements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201"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clinical or commercial production, applicable regulatory agencies may inspect the new vendor or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preclinical and clinical trials, either of which could significantly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3"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6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20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200"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The strength of patents in the biotechnology and biopharmaceutical field involves complex legal and scientific questions and can be uncertain. The patent applications that we own or in- license may fail to result in issued patents with claims that cover our product candidates or uses thereof in the U.S.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18" w:right="1440" w:bottom="177"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20"/>
          <w:szCs w:val="20"/>
          <w:color w:val="auto"/>
        </w:rPr>
        <w:t>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89"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18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We cannot be certain that we are the first to invent the inventions covered by pending patent applications and, if we are not, we may be subject to priority disputes. Furthermore, for U.S. applications in which all claims are entitled to a priority date before March 16, 2013, an interference proceeding can be provoked by a third-party or instituted by the U.S. Patent and Trademark Office, or USPTO, to determine who was the first to invent any of the subject matter covered by the patent claims of our applications. Similarly, for U.S.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20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202"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1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Intellectual property rights do not necessarily address all potential threats to our business. The degree of future protection for our proprietary rights is uncertain because legal means afford only limited protection and may not adequately protect our rights or permit us to gain or keep our competitive advantage. For example:</w:t>
      </w:r>
    </w:p>
    <w:p>
      <w:pPr>
        <w:spacing w:after="0" w:line="80"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others may be able to make or use compounds that are similar to the compositions of our product candidates but that are not covered by the claims of our patents or those of our licensors;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18" w:right="1440" w:bottom="177" w:gutter="0" w:footer="0" w:header="0"/>
        </w:sectPr>
      </w:pPr>
    </w:p>
    <w:bookmarkStart w:id="66" w:name="page67"/>
    <w:bookmarkEnd w:id="66"/>
    <w:p>
      <w:pPr>
        <w:ind w:left="980"/>
        <w:spacing w:after="0" w:line="259" w:lineRule="auto"/>
        <w:rPr>
          <w:sz w:val="20"/>
          <w:szCs w:val="20"/>
          <w:color w:val="auto"/>
        </w:rPr>
      </w:pPr>
      <w:r>
        <w:rPr>
          <w:rFonts w:ascii="Times New Roman" w:cs="Times New Roman" w:eastAsia="Times New Roman" w:hAnsi="Times New Roman"/>
          <w:sz w:val="20"/>
          <w:szCs w:val="20"/>
          <w:color w:val="auto"/>
        </w:rPr>
        <w:t>we or our licensors, as the case may be, may fail to meet our obligations to the U.S. government in regard to any in-licensed patents and patent applications funded by U.S. government grants, leading to the loss of patent rights;</w:t>
      </w:r>
    </w:p>
    <w:p>
      <w:pPr>
        <w:spacing w:after="0" w:line="7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we or our licensors, as the case may be, might not have been the first to file patent applications for these inventions;</w:t>
      </w:r>
    </w:p>
    <w:p>
      <w:pPr>
        <w:spacing w:after="0" w:line="59" w:lineRule="exact"/>
        <w:rPr>
          <w:sz w:val="20"/>
          <w:szCs w:val="20"/>
          <w:color w:val="auto"/>
        </w:rPr>
      </w:pPr>
    </w:p>
    <w:p>
      <w:pPr>
        <w:ind w:left="980"/>
        <w:spacing w:after="0" w:line="380" w:lineRule="auto"/>
        <w:rPr>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it is possible that our pending patent applications will not result in issued patents;</w:t>
      </w:r>
    </w:p>
    <w:p>
      <w:pPr>
        <w:ind w:left="980"/>
        <w:spacing w:after="0" w:line="280" w:lineRule="auto"/>
        <w:rPr>
          <w:sz w:val="20"/>
          <w:szCs w:val="20"/>
          <w:color w:val="auto"/>
        </w:rPr>
      </w:pPr>
      <w:r>
        <w:rPr>
          <w:rFonts w:ascii="Times New Roman" w:cs="Times New Roman" w:eastAsia="Times New Roman" w:hAnsi="Times New Roman"/>
          <w:sz w:val="20"/>
          <w:szCs w:val="20"/>
          <w:color w:val="auto"/>
        </w:rPr>
        <w:t>it is possible that there are prior public disclosures that could invalidate our or our licensors’ patents, as the case may be, or parts of our or their patents;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it is possible that others may circumvent our owned or in-licensed patents;</w:t>
      </w:r>
    </w:p>
    <w:p>
      <w:pPr>
        <w:spacing w:after="0" w:line="134"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it is possible that there are unpublished applications or patent applications maintained in secrecy that may later issue with claims covering our products or technology similar to ours;</w:t>
      </w:r>
    </w:p>
    <w:p>
      <w:pPr>
        <w:spacing w:after="0" w:line="5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laws of foreign countries may not protect our or our licensors’, as the case may be, proprietary rights to the same extent as the laws of the U.S.;</w:t>
      </w:r>
    </w:p>
    <w:p>
      <w:pPr>
        <w:spacing w:after="0" w:line="5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claims of our owned or in-licensed issued patents or patent applications, if and when issued, may not cover our product candidates;</w:t>
      </w:r>
    </w:p>
    <w:p>
      <w:pPr>
        <w:spacing w:after="0" w:line="58"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our owned or in-licensed issued patents may not provide us with any competitive advantages, may be narrowed in scope, or be held invalid or unenforceable as a result of legal challenges by third parties;</w:t>
      </w:r>
    </w:p>
    <w:p>
      <w:pPr>
        <w:spacing w:after="0" w:line="5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9" w:lineRule="exact"/>
        <w:rPr>
          <w:sz w:val="20"/>
          <w:szCs w:val="20"/>
          <w:color w:val="auto"/>
        </w:rPr>
      </w:pPr>
    </w:p>
    <w:p>
      <w:pPr>
        <w:jc w:val="right"/>
        <w:ind w:left="980"/>
        <w:spacing w:after="0" w:line="306" w:lineRule="auto"/>
        <w:rPr>
          <w:sz w:val="20"/>
          <w:szCs w:val="20"/>
          <w:color w:val="auto"/>
        </w:rPr>
      </w:pPr>
      <w:r>
        <w:rPr>
          <w:rFonts w:ascii="Times New Roman" w:cs="Times New Roman" w:eastAsia="Times New Roman" w:hAnsi="Times New Roman"/>
          <w:sz w:val="19"/>
          <w:szCs w:val="19"/>
          <w:color w:val="auto"/>
        </w:rPr>
        <w:t>we have engaged in scientific collaborations in the past and will continue to do so in the future. Such collaborators may develop adjacent or competing products to ours that are outside the scope of our patents;</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may not develop additional proprietary technologies for which we can obtain patent protection;</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it is possible that product candidates or diagnostic tests we develop may be covered by third parties’ patents or other exclusive rights; or</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240"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Should any of these or similar events occur, they could significantly harm our business, financial condition, results of operations, and prospects.</w:t>
      </w:r>
    </w:p>
    <w:p>
      <w:pPr>
        <w:spacing w:after="0" w:line="16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currently party to license or other collaboration agreements that impose certain obligations on us, and we may enter into additional license or collaboration agreements in the future. If we fail to comply with our obligations under such present or future agreements with third parties, we could lose license rights that may be important to our business.</w:t>
      </w:r>
    </w:p>
    <w:p>
      <w:pPr>
        <w:spacing w:after="0" w:line="19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 Our existing licensing agreements with UTHSCT, the University of Texas at Austin, the Medical University of South Carolina, and Vivarta Therapeutics, LLC contain diligence obligations to maintain each license agreement.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33" w:right="1440" w:bottom="177" w:gutter="0" w:footer="0" w:header="0"/>
        </w:sectPr>
      </w:pPr>
    </w:p>
    <w:bookmarkStart w:id="67" w:name="page68"/>
    <w:bookmarkEnd w:id="67"/>
    <w:p>
      <w:pPr>
        <w:ind w:firstLine="490"/>
        <w:spacing w:after="0" w:line="279" w:lineRule="auto"/>
        <w:rPr>
          <w:sz w:val="20"/>
          <w:szCs w:val="20"/>
          <w:color w:val="auto"/>
        </w:rPr>
      </w:pPr>
      <w:r>
        <w:rPr>
          <w:rFonts w:ascii="Times New Roman" w:cs="Times New Roman" w:eastAsia="Times New Roman" w:hAnsi="Times New Roman"/>
          <w:sz w:val="20"/>
          <w:szCs w:val="20"/>
          <w:color w:val="auto"/>
        </w:rPr>
        <w:t>Moreover, disputes may arise regarding intellectual property subject to a licensing agreement, including, but not limited to:</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the extent to which our product candidates, technology and processes infringe on intellectual property of the licensor that is not subject to the licensing agreement;</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sublicensing of patent and other rights under our collaborative development relationships;</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58"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the inventorship and ownership of inventions and know-how resulting from the joint creation or use of intellectual property by our licensors and us and our partners;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240"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04"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addition, we may have limited control over the maintenance and prosecution of these in-licensed patents and patent applications, or any other intellectual property that may be related to our in-licensed intellectual property. For example, our limited control over the prosecution of these in-licensed patents and patent applications, or any other intellectual property that may be related to our in-licensed intellectual property may allow the licensors to pursue additional patent applications with limited input from us. Result in the licensor to pursue filing and prosecuting patent applications or obtaining patents without our knowledge or agreement. Such conduct by the licensor could have a material adverse effect on our business. We cannot also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08"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Reliance on third parties requires us to share our proprietary information, which increases the possibility that such information will be misappropriated or disclosed.</w:t>
      </w:r>
    </w:p>
    <w:p>
      <w:pPr>
        <w:spacing w:after="0" w:line="16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If we collaborate with third parties for the development or commercialization of our current or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employees, collaborators, advisors,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becomes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208"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In addition, these agreements typically restrict the ability of our employees, collaborators, advisors, third-party contractors, and consultants to publish data potentially relating to our know-how. Despite our efforts to protect our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18" w:right="1440" w:bottom="177" w:gutter="0" w:footer="0" w:header="0"/>
        </w:sectPr>
      </w:pPr>
    </w:p>
    <w:bookmarkStart w:id="68" w:name="page69"/>
    <w:bookmarkEnd w:id="68"/>
    <w:p>
      <w:pPr>
        <w:jc w:val="both"/>
        <w:spacing w:after="0" w:line="243" w:lineRule="auto"/>
        <w:rPr>
          <w:sz w:val="20"/>
          <w:szCs w:val="20"/>
          <w:color w:val="auto"/>
        </w:rPr>
      </w:pPr>
      <w:r>
        <w:rPr>
          <w:rFonts w:ascii="Times New Roman" w:cs="Times New Roman" w:eastAsia="Times New Roman" w:hAnsi="Times New Roman"/>
          <w:sz w:val="20"/>
          <w:szCs w:val="20"/>
          <w:color w:val="auto"/>
        </w:rPr>
        <w:t>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07"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patents or the patents of our licensors, which could be expensive, time-consuming and unsuccessful.</w:t>
      </w:r>
    </w:p>
    <w:p>
      <w:pPr>
        <w:spacing w:after="0" w:line="166"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Competitors may infringe our patents or the patents of our current or future licensors. To counter infringement or unauthorized use, we may be required to file infringement claims, which can be expensive and time-consuming.</w:t>
      </w:r>
    </w:p>
    <w:p>
      <w:pPr>
        <w:spacing w:after="0" w:line="165"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4"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87"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addition, because some patent applications in the U.S. may be maintained in secrecy until the patents are issued, patent applications in the U.S.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20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18" w:right="1440" w:bottom="177" w:gutter="0" w:footer="0" w:header="0"/>
        </w:sectPr>
      </w:pPr>
    </w:p>
    <w:bookmarkStart w:id="69" w:name="page70"/>
    <w:bookmarkEnd w:id="69"/>
    <w:p>
      <w:pPr>
        <w:jc w:val="both"/>
        <w:spacing w:after="0" w:line="279" w:lineRule="auto"/>
        <w:rPr>
          <w:sz w:val="20"/>
          <w:szCs w:val="20"/>
          <w:color w:val="auto"/>
        </w:rPr>
      </w:pPr>
      <w:r>
        <w:rPr>
          <w:rFonts w:ascii="Times New Roman" w:cs="Times New Roman" w:eastAsia="Times New Roman" w:hAnsi="Times New Roman"/>
          <w:sz w:val="20"/>
          <w:szCs w:val="20"/>
          <w:color w:val="auto"/>
        </w:rPr>
        <w:t>misappropriation of our trade secrets or confidential information, particularly in countries where the laws may not protect those rights as fully as in the U.S.</w:t>
      </w:r>
    </w:p>
    <w:p>
      <w:pPr>
        <w:spacing w:after="0" w:line="16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4"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166"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 consuming, and the outcome is unpredictable. In addition, trade secrets may be independently developed by others in a manner that could prevent legal recourse by us. Because we expect to rely on third parties in the development and manufacture of our product candidates, we must, at times, share trade secrets with them. If any of our confidential or proprietary information, such as our trade secrets, were to be disclosed or misappropriated, or if any such information was independently developed by a competitor, our competitive position could be harmed.</w:t>
      </w:r>
    </w:p>
    <w:p>
      <w:pPr>
        <w:spacing w:after="0" w:line="21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In addition, courts outside the U.S.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94"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w:t>
      </w:r>
    </w:p>
    <w:p>
      <w:pPr>
        <w:spacing w:after="0" w:line="20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may prevent or delay our product discovery and development efforts.</w:t>
      </w:r>
    </w:p>
    <w:p>
      <w:pPr>
        <w:spacing w:after="0" w:line="167"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418" w:right="1440" w:bottom="177" w:gutter="0" w:footer="0" w:header="0"/>
        </w:sectPr>
      </w:pPr>
    </w:p>
    <w:bookmarkStart w:id="70" w:name="page71"/>
    <w:bookmarkEnd w:id="70"/>
    <w:p>
      <w:pPr>
        <w:jc w:val="both"/>
        <w:spacing w:after="0" w:line="247" w:lineRule="auto"/>
        <w:rPr>
          <w:sz w:val="20"/>
          <w:szCs w:val="20"/>
          <w:color w:val="auto"/>
        </w:rPr>
      </w:pPr>
      <w:r>
        <w:rPr>
          <w:rFonts w:ascii="Times New Roman" w:cs="Times New Roman" w:eastAsia="Times New Roman" w:hAnsi="Times New Roman"/>
          <w:sz w:val="20"/>
          <w:szCs w:val="20"/>
          <w:color w:val="auto"/>
        </w:rPr>
        <w:t>proprietary technologies infringe their intellectual property rights. Numerous U.S. and foreign issued patents and pending patent applications, which are owned by third parties, exist in the fields in which we are developing our product candidates, and further applications in the fields could continue to be filed. For example, even if we were the first to file a patent application related to our technology, we cannot be certain that a third-party is or will be filing and prosecuting patent applications related to our technology or related to our field, which could have a material adverse effect on our business.</w:t>
      </w:r>
    </w:p>
    <w:p>
      <w:pPr>
        <w:spacing w:after="0" w:line="200"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auto"/>
        </w:rPr>
        <w:t>As the biotechnology and biopharmaceutical industries expand and more patents are issued, the risk increases that our product candidates may give rise to claims of infringement of the patent rights of others. There can be no assurance that our business does not, or will not in the future, infringe, misappropriate, or otherwise violate existing or future third-party patents or other intellectual property rights. Identification of third-party patent rights that may be relevant to our business is difficult because patent searching is imperfect due to differences in terminology among patents, incomplete databases, and the difficulty in assessing the meaning of patent claims.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8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20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20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We cannot provide any assurances that third-party patents and other intellectual property rights do not exist which might be enforced against our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spacing w:after="0" w:line="192"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If a third-party claims that we infringe its intellectual property rights, we may face a number of issues,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18" w:right="1440" w:bottom="177" w:gutter="0" w:footer="0" w:header="0"/>
        </w:sectPr>
      </w:pPr>
    </w:p>
    <w:bookmarkStart w:id="71" w:name="page72"/>
    <w:bookmarkEnd w:id="71"/>
    <w:p>
      <w:pPr>
        <w:ind w:left="980"/>
        <w:spacing w:after="0" w:line="279" w:lineRule="auto"/>
        <w:rPr>
          <w:sz w:val="20"/>
          <w:szCs w:val="20"/>
          <w:color w:val="auto"/>
        </w:rPr>
      </w:pPr>
      <w:r>
        <w:rPr>
          <w:rFonts w:ascii="Times New Roman" w:cs="Times New Roman" w:eastAsia="Times New Roman" w:hAnsi="Times New Roman"/>
          <w:sz w:val="20"/>
          <w:szCs w:val="20"/>
          <w:color w:val="auto"/>
        </w:rPr>
        <w:t>infringement and other intellectual property claims which, regardless of merit, may be expensive and time-consuming to litigate and may divert our management’s attention from our core business;</w:t>
      </w:r>
    </w:p>
    <w:p>
      <w:pPr>
        <w:spacing w:after="0" w:line="59"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83"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76"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85"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redesigning our product candidates or processes so they do not infringe, which may not be possible or may require substantial monetary expenditures and time.</w:t>
      </w:r>
    </w:p>
    <w:p>
      <w:pPr>
        <w:spacing w:after="0" w:line="16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23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Filing, prosecuting and defending patents on our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 candidates in jurisdictions where we do not have any issued patents and our patent claims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us to enforce our patent rights or by third parties to challenge the scope or validity of our patent rights in foreign jurisdictions could result in substantial cost and divert our efforts and attention from other aspects of our business. Such proceedings could put our patents at risk of being invalidated or interpreted narrowly and our patent applications at risk of not issuing and could provoke third parties to assert claims against us. We may not prevail in any lawsuits that we become party to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8"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6"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33" w:right="1440" w:bottom="177" w:gutter="0" w:footer="0" w:header="0"/>
        </w:sectPr>
      </w:pPr>
    </w:p>
    <w:bookmarkStart w:id="72" w:name="page73"/>
    <w:bookmarkEnd w:id="72"/>
    <w:p>
      <w:pPr>
        <w:jc w:val="both"/>
        <w:spacing w:after="0" w:line="246" w:lineRule="auto"/>
        <w:rPr>
          <w:sz w:val="20"/>
          <w:szCs w:val="20"/>
          <w:color w:val="auto"/>
        </w:rPr>
      </w:pPr>
      <w:r>
        <w:rPr>
          <w:rFonts w:ascii="Times New Roman" w:cs="Times New Roman" w:eastAsia="Times New Roman" w:hAnsi="Times New Roman"/>
          <w:sz w:val="20"/>
          <w:szCs w:val="20"/>
          <w:color w:val="auto"/>
        </w:rPr>
        <w:t>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01"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collaborators may assert ownership or commercial rights to inventions they develop from research we support or that we develop from our use of samples or other materials, which they provide to us, or otherwise arising from the collaboration.</w:t>
      </w:r>
    </w:p>
    <w:p>
      <w:pPr>
        <w:spacing w:after="0" w:line="18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20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addition, we may in the future be subject to claims by former employees, collaborators,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w:t>
      </w: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23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3"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Third parties may assert that we are employing their proprietary technology without authorization, infringing, misappropriating, or otherwise violating their intellectual property rights. We may need to license intellectual property from third parties, and such licenses may not be available or may not be available on commercially reasonable terms.</w:t>
      </w:r>
    </w:p>
    <w:p>
      <w:pPr>
        <w:spacing w:after="0" w:line="192"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18" w:right="1440" w:bottom="177" w:gutter="0" w:footer="0" w:header="0"/>
        </w:sectPr>
      </w:pPr>
    </w:p>
    <w:bookmarkStart w:id="73" w:name="page74"/>
    <w:bookmarkEnd w:id="73"/>
    <w:p>
      <w:pPr>
        <w:jc w:val="both"/>
        <w:spacing w:after="0" w:line="242" w:lineRule="auto"/>
        <w:rPr>
          <w:sz w:val="20"/>
          <w:szCs w:val="20"/>
          <w:color w:val="auto"/>
        </w:rPr>
      </w:pPr>
      <w:r>
        <w:rPr>
          <w:rFonts w:ascii="Times New Roman" w:cs="Times New Roman" w:eastAsia="Times New Roman" w:hAnsi="Times New Roman"/>
          <w:sz w:val="20"/>
          <w:szCs w:val="20"/>
          <w:color w:val="auto"/>
        </w:rPr>
        <w:t>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0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Third parties may assert that our employees or consultants have wrongfully used or disclosed confidential information or misappropriated trade secrets.</w:t>
      </w:r>
    </w:p>
    <w:p>
      <w:pPr>
        <w:spacing w:after="0" w:line="16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05"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current or future patents, if issued, covering our product candidates could be found invalid or unenforceable if challenged in court or the USPTO.</w:t>
      </w:r>
    </w:p>
    <w:p>
      <w:pPr>
        <w:spacing w:after="0" w:line="166"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third-party can assert invalidity or unenforceability of a patent. Third parties may also raise similar claims before administrative bodies in the U.S.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18" w:right="1440" w:bottom="177"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9"/>
          <w:szCs w:val="19"/>
          <w:color w:val="auto"/>
        </w:rPr>
        <w:t>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81"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in the U.S. and in foreign jurisdictions could diminish the value of patents in general, thereby impairing our ability to protect our products.</w:t>
      </w:r>
    </w:p>
    <w:p>
      <w:pPr>
        <w:spacing w:after="0" w:line="165"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auto"/>
        </w:rPr>
        <w:t>Changes in either the patent laws or interpretation of the patent laws in the U.S. could increase the uncertainties and costs surrounding the prosecution of patent applications and the enforcement or defense of issued patents. Assuming that other requirements for patentability are met, prior to March 16, 2013, in the U.S., the first to invent the claimed invention was entitled to the patent, while outside the U.S., the first to file a patent application was entitled to the patent. On March 16, 2013, under America Invents Act, the U.S.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8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 licensed issued patents, all of which could have a material adverse effect on our business, financial condition, results of operations, and prospects.</w:t>
      </w:r>
    </w:p>
    <w:p>
      <w:pPr>
        <w:spacing w:after="0" w:line="20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For example, recent decisions raise questions regarding the award of patent term adjustment, or PTA, for patents where related patents have issued without PTA. Thus, it cannot be said with certainty how PTA will or will not be viewed in future and whether patent expiration dates may be impacted.</w:t>
      </w:r>
    </w:p>
    <w:p>
      <w:pPr>
        <w:spacing w:after="0" w:line="202"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Similarly, changes in patent law and regulations in other countries or jurisdictions or changes in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or the UPC, for litigation involving such patents. As the UPC is a new court system,</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18" w:right="1440" w:bottom="177" w:gutter="0" w:footer="0" w:header="0"/>
        </w:sectPr>
      </w:pPr>
    </w:p>
    <w:bookmarkStart w:id="75" w:name="page76"/>
    <w:bookmarkEnd w:id="75"/>
    <w:p>
      <w:pPr>
        <w:jc w:val="both"/>
        <w:spacing w:after="0" w:line="243" w:lineRule="auto"/>
        <w:rPr>
          <w:sz w:val="20"/>
          <w:szCs w:val="20"/>
          <w:color w:val="auto"/>
        </w:rPr>
      </w:pPr>
      <w:r>
        <w:rPr>
          <w:rFonts w:ascii="Times New Roman" w:cs="Times New Roman" w:eastAsia="Times New Roman" w:hAnsi="Times New Roman"/>
          <w:sz w:val="20"/>
          <w:szCs w:val="20"/>
          <w:color w:val="auto"/>
        </w:rPr>
        <w:t>there is no precedent for the court, increasing the uncertainty of any litigation.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It is uncertain how the UPC will impact granted European patents in the biotechnology and pharmaceutical industries. We cannot predict how future decisions by the courts, the United States Congress, or the USPTO may impact the value of our patents. Any similar adverse change in the patent laws of other jurisdictions could also adversely affect our business, financial condition, and results of operations.</w:t>
      </w:r>
    </w:p>
    <w:p>
      <w:pPr>
        <w:spacing w:after="0" w:line="210"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limited foreign intellectual property rights and may not be able to protect our intellectual property rights throughout the world.</w:t>
      </w:r>
    </w:p>
    <w:p>
      <w:pPr>
        <w:spacing w:after="0" w:line="167"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products in jurisdictions where we do not have any issued patents and our patent claims or other intellectual property rights may not be effective or sufficient to prevent them from competing.</w:t>
      </w:r>
    </w:p>
    <w:p>
      <w:pPr>
        <w:spacing w:after="0" w:line="19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2"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16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Patents have a limited lifespan. In the U.S.,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01"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U.S. patent licensed from the Board of Regents of the University of Texas System directed to methods of using intrapleural single chain urokinase plasminogen activator, or scuPA, polypeptide for decreasing the severity 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18" w:right="1440" w:bottom="177" w:gutter="0" w:footer="0" w:header="0"/>
        </w:sectPr>
      </w:pPr>
    </w:p>
    <w:bookmarkStart w:id="76" w:name="page77"/>
    <w:bookmarkEnd w:id="76"/>
    <w:p>
      <w:pPr>
        <w:jc w:val="both"/>
        <w:spacing w:after="0" w:line="249" w:lineRule="auto"/>
        <w:rPr>
          <w:sz w:val="20"/>
          <w:szCs w:val="20"/>
          <w:color w:val="auto"/>
        </w:rPr>
      </w:pPr>
      <w:r>
        <w:rPr>
          <w:rFonts w:ascii="Times New Roman" w:cs="Times New Roman" w:eastAsia="Times New Roman" w:hAnsi="Times New Roman"/>
          <w:sz w:val="20"/>
          <w:szCs w:val="20"/>
          <w:color w:val="auto"/>
        </w:rPr>
        <w:t>pleural scarring, expired in 2024 without patent term extension. We cannot assure that, we will not face competition from competitive products, now that the patent has expired. We plan to rely on the 12 years of data exclusivity provided under the BPCIA, as well as the complexity of the manufacturing process of LTI-01. There can be no assurance that BPCIA product protection will be available if LTI-01 is approved, or the Company will be able to maintain the confidentiality of its trade secrets and know-how in its manufacturing process.</w:t>
      </w:r>
    </w:p>
    <w:p>
      <w:pPr>
        <w:spacing w:after="0" w:line="199"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and data exclusivity for any product candidates we may develop, our business may be materially harmed.</w:t>
      </w:r>
    </w:p>
    <w:p>
      <w:pPr>
        <w:spacing w:after="0" w:line="165"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take advantage of our investment in development and clinical trials by referencing our clinical and preclinical data, obtain approval of competing products, and launch their products earlier than might otherwise be the case, and our business, financial condition, results of operations, and prospects could be materially harmed.</w:t>
      </w:r>
    </w:p>
    <w:p>
      <w:pPr>
        <w:spacing w:after="0" w:line="214"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w:t>
      </w:r>
    </w:p>
    <w:p>
      <w:pPr>
        <w:spacing w:after="0" w:line="19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Any name we propose to use with our product candidates in the U.S.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20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may not be able to protect our rights to our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Growth</w:t>
      </w:r>
    </w:p>
    <w:p>
      <w:pPr>
        <w:spacing w:after="0" w:line="244"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our vendors or other contractors or consultants, may fail or suffer security breaches, which could result in a material disruption of our product development programs.</w:t>
      </w:r>
    </w:p>
    <w:p>
      <w:pPr>
        <w:spacing w:after="0" w:line="165" w:lineRule="exact"/>
        <w:rPr>
          <w:sz w:val="20"/>
          <w:szCs w:val="20"/>
          <w:color w:val="auto"/>
        </w:rPr>
      </w:pPr>
    </w:p>
    <w:p>
      <w:pPr>
        <w:jc w:val="both"/>
        <w:ind w:firstLine="490"/>
        <w:spacing w:after="0" w:line="307" w:lineRule="auto"/>
        <w:rPr>
          <w:sz w:val="20"/>
          <w:szCs w:val="20"/>
          <w:color w:val="auto"/>
        </w:rPr>
      </w:pPr>
      <w:r>
        <w:rPr>
          <w:rFonts w:ascii="Times New Roman" w:cs="Times New Roman" w:eastAsia="Times New Roman" w:hAnsi="Times New Roman"/>
          <w:sz w:val="19"/>
          <w:szCs w:val="19"/>
          <w:color w:val="auto"/>
        </w:rPr>
        <w:t>Although we attempt to secure our systems and have a process to identify and mitigate threats, our internal computer systems and those of our current and any future vendors and other contractors or consultants are vulnerable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18" w:right="1440" w:bottom="177" w:gutter="0" w:footer="0" w:header="0"/>
        </w:sectPr>
      </w:pPr>
    </w:p>
    <w:bookmarkStart w:id="77" w:name="page78"/>
    <w:bookmarkEnd w:id="77"/>
    <w:p>
      <w:pPr>
        <w:jc w:val="both"/>
        <w:spacing w:after="0" w:line="243" w:lineRule="auto"/>
        <w:rPr>
          <w:sz w:val="20"/>
          <w:szCs w:val="20"/>
          <w:color w:val="auto"/>
        </w:rPr>
      </w:pPr>
      <w:r>
        <w:rPr>
          <w:rFonts w:ascii="Times New Roman" w:cs="Times New Roman" w:eastAsia="Times New Roman" w:hAnsi="Times New Roman"/>
          <w:sz w:val="20"/>
          <w:szCs w:val="20"/>
          <w:color w:val="auto"/>
        </w:rPr>
        <w:t>to damage from computer viruses, ransomware attacks and other malicious behavior, unauthorized access, natural disasters, terrorism, war and telecommunication and electrical failures. While we have not experienced any such material system failure, accident, attack or security breach to date, if such an event were to occur and cause interruptions in our operations, it could result in a disruption of our development programs and our business operations, whether due to a loss of our trade secrets or other proprietary information, inability to access critical systems and applications, or other similar disruptions. For example, the loss of clinical trial data from future clinical trials could result in delays in our regulatory approval efforts and significantly increase our costs to recover or reproduce the data. To the extent that any disruption, attack or security breach were to result in a loss of, or damage to, our data or applications, or inappropriate disclosure of confidential or proprietary information, we could incur costs of notification to individuals, regulators and other third parties, remediation costs, liability to our customers or third parties and/or regulatory fines and penalties, our competitive position could be harmed, and the further development and commercialization of our product candidates could be delayed.</w:t>
      </w:r>
    </w:p>
    <w:p>
      <w:pPr>
        <w:spacing w:after="0" w:line="205"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9"/>
          <w:szCs w:val="19"/>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ransomware and other cyberattack.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respond to an incident and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failure to use reasonable measures to safeguard data, violation of state laws protecting the confidentiality, privacy and integrity of personal information and health-related information,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own technology and information systems and manage potential security risks associated with our vendors. In addition, there can be no assurance that our internal information technology systems or those of our third-party vendors, or our and our vendors’ efforts to implement adequate security and control measures, will be sufficient to protect us against breakdowns, service disruption, data deterioration or loss in the event of a system malfunction, or prevent data from being stolen or corrupted or the company being subject to attempted extortion in the event of a cyberattack or ransomware attack, security breach, industrial espionage attacks or insider threat attacks which could result in financial, legal, business or reputational harm.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4" w:lineRule="exact"/>
        <w:rPr>
          <w:sz w:val="20"/>
          <w:szCs w:val="20"/>
          <w:color w:val="auto"/>
        </w:rPr>
      </w:pPr>
    </w:p>
    <w:p>
      <w:pPr>
        <w:jc w:val="both"/>
        <w:ind w:firstLine="5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compliance with the requirements for continued listing on the Nasdaq Capital Market, our common stock could be delisted from trading, which would adversely affect the liquidity of our common stock.</w:t>
      </w:r>
    </w:p>
    <w:p>
      <w:pPr>
        <w:spacing w:after="0" w:line="142"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Our common stock is currently listed on the Nasdaq Capital Market. We are required to meet specified requirements to maintain our listing on the Nasdaq Capital Market, including a minimum bid price of $1.00 per share for our common stock and standards relative to minimum stockholders’ equity, minimum market value of publicly held shares and various additional requirements. In the past we have, from time to time, received written notification from the Nasdaq Stock Market informing us that we were not in compliance with certain continued listing requirements of the Nasdaq Capital Market. There can be no assurance that we will continue to maintain compliance with the requirements for listing our common stock on the Nasdaq Capital Market. Any potential delisting of our common stock from the Nasdaq Capital Market would likely result in decreased liquidity and increased volatility for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18" w:right="1440" w:bottom="177" w:gutter="0" w:footer="0" w:header="0"/>
        </w:sectPr>
      </w:pPr>
    </w:p>
    <w:bookmarkStart w:id="78" w:name="page79"/>
    <w:bookmarkEnd w:id="78"/>
    <w:p>
      <w:pPr>
        <w:jc w:val="both"/>
        <w:spacing w:after="0" w:line="259" w:lineRule="auto"/>
        <w:rPr>
          <w:sz w:val="20"/>
          <w:szCs w:val="20"/>
          <w:color w:val="auto"/>
        </w:rPr>
      </w:pPr>
      <w:r>
        <w:rPr>
          <w:rFonts w:ascii="Times New Roman" w:cs="Times New Roman" w:eastAsia="Times New Roman" w:hAnsi="Times New Roman"/>
          <w:sz w:val="20"/>
          <w:szCs w:val="20"/>
          <w:color w:val="auto"/>
        </w:rPr>
        <w:t>our common stock and would adversely affect our ability to raise additional capital or to enter into strategic transactions. Any potential delisting of our common stock from the Nasdaq Capital Market would also make it more difficult for our stockholders to sell our common stock in the public market.</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be sustained.</w:t>
      </w:r>
    </w:p>
    <w:p>
      <w:pPr>
        <w:spacing w:after="0" w:line="237"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Our shares of common stock began trading on The Nasdaq Global Market on June 29, 2017, and transferred to The Nasdaq Capital Market, effective December 30, 2019. Given the limited trading history of our common stock, there is a risk that an active trading market for our shares may not be sustained, which could put downward pressure on the market price of our common stock and thereby affect the ability of stockholders to sell their shares.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202"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evaluations of our stock, the price of our stock could decline.</w:t>
      </w:r>
    </w:p>
    <w:p>
      <w:pPr>
        <w:spacing w:after="0" w:line="167"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The trading market for our common stock relies in part on the research and reports that industry or financial analysts publish about us or our business. If few analysts commence, or if analysts discontinue,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stock may be volatile, and you could lose all or part of your investment.</w:t>
      </w:r>
    </w:p>
    <w:p>
      <w:pPr>
        <w:spacing w:after="0" w:line="238"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trading price of our common stock is highly volatile and could be subject to wide fluctuations in response to various factors, some of which are beyond our control, including limited trading volume. These factors include:</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timing and results of clinical trials of LTI-03;</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ability to raise additional capital as and when needed;</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any delay in identifying and advancing a clinical candidate for our other development programs;</w:t>
      </w:r>
    </w:p>
    <w:p>
      <w:pPr>
        <w:spacing w:after="0" w:line="134"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any delay in our regulatory filings for LTI-03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adverse results or delays in future clinical trials;</w:t>
      </w:r>
    </w:p>
    <w:p>
      <w:pPr>
        <w:spacing w:after="0" w:line="134" w:lineRule="exact"/>
        <w:rPr>
          <w:sz w:val="20"/>
          <w:szCs w:val="20"/>
          <w:color w:val="auto"/>
        </w:rPr>
      </w:pPr>
    </w:p>
    <w:p>
      <w:pPr>
        <w:ind w:left="980"/>
        <w:spacing w:after="0" w:line="380" w:lineRule="auto"/>
        <w:rPr>
          <w:sz w:val="20"/>
          <w:szCs w:val="20"/>
          <w:color w:val="auto"/>
        </w:rPr>
      </w:pPr>
      <w:r>
        <w:rPr>
          <w:rFonts w:ascii="Times New Roman" w:cs="Times New Roman" w:eastAsia="Times New Roman" w:hAnsi="Times New Roman"/>
          <w:sz w:val="20"/>
          <w:szCs w:val="20"/>
          <w:color w:val="auto"/>
        </w:rPr>
        <w:t>our decision to initiate a clinical trial, not to initiate a clinical trial or to terminate an existing clinical trial; adverse regulatory decisions, including failure to receive regulatory approval of LTI-03;</w:t>
      </w:r>
    </w:p>
    <w:p>
      <w:pPr>
        <w:ind w:left="980"/>
        <w:spacing w:after="0" w:line="280" w:lineRule="auto"/>
        <w:rPr>
          <w:sz w:val="20"/>
          <w:szCs w:val="20"/>
          <w:color w:val="auto"/>
        </w:rPr>
      </w:pPr>
      <w:r>
        <w:rPr>
          <w:rFonts w:ascii="Times New Roman" w:cs="Times New Roman" w:eastAsia="Times New Roman" w:hAnsi="Times New Roman"/>
          <w:sz w:val="20"/>
          <w:szCs w:val="20"/>
          <w:color w:val="auto"/>
        </w:rPr>
        <w:t>changes in laws or regulations applicable to LTI-03, including but not limited to clinical trial requirements for approvals;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adverse developments concerning our manufacturers;</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our inability to obtain adequate product supply for any approved product or inability to do so at acceptable prices;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inability to establish collaborations, if needed;</w:t>
      </w:r>
    </w:p>
    <w:p>
      <w:pPr>
        <w:spacing w:after="0" w:line="134" w:lineRule="exact"/>
        <w:rPr>
          <w:sz w:val="20"/>
          <w:szCs w:val="20"/>
          <w:color w:val="auto"/>
        </w:rPr>
      </w:pPr>
    </w:p>
    <w:p>
      <w:pPr>
        <w:ind w:left="980" w:right="3040"/>
        <w:spacing w:after="0" w:line="399" w:lineRule="auto"/>
        <w:rPr>
          <w:sz w:val="20"/>
          <w:szCs w:val="20"/>
          <w:color w:val="auto"/>
        </w:rPr>
      </w:pPr>
      <w:r>
        <w:rPr>
          <w:rFonts w:ascii="Times New Roman" w:cs="Times New Roman" w:eastAsia="Times New Roman" w:hAnsi="Times New Roman"/>
          <w:sz w:val="19"/>
          <w:szCs w:val="19"/>
          <w:color w:val="auto"/>
        </w:rPr>
        <w:t>our failure to commercialize our product candidates, if approved; additions or departures of key scientific or management personnel; unanticipated serious safety concerns related to the use of LTI-03;</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introduction of new products or services offered by us or our competitors;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18" w:right="1440" w:bottom="177" w:gutter="0" w:footer="0" w:header="0"/>
        </w:sectPr>
      </w:pPr>
    </w:p>
    <w:bookmarkStart w:id="79" w:name="page80"/>
    <w:bookmarkEnd w:id="79"/>
    <w:p>
      <w:pPr>
        <w:ind w:left="980"/>
        <w:spacing w:after="0" w:line="279" w:lineRule="auto"/>
        <w:rPr>
          <w:sz w:val="20"/>
          <w:szCs w:val="20"/>
          <w:color w:val="auto"/>
        </w:rPr>
      </w:pPr>
      <w:r>
        <w:rPr>
          <w:rFonts w:ascii="Times New Roman" w:cs="Times New Roman" w:eastAsia="Times New Roman" w:hAnsi="Times New Roman"/>
          <w:sz w:val="20"/>
          <w:szCs w:val="20"/>
          <w:color w:val="auto"/>
        </w:rPr>
        <w:t>announcements of significant acquisitions, strategic partnerships, joint ventures or capital commitments by us or our competitors;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actual or anticipated variations in our quarterly operating results or those of companies that are perceived to be similar to us;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cash position;</w:t>
      </w:r>
    </w:p>
    <w:p>
      <w:pPr>
        <w:spacing w:after="0" w:line="133"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our failure to meet, or actual or anticipated changes in, the estimates and projections as to financial results, development timelines or recommendations of the investment community or that we may otherwise provide to the public;</w:t>
      </w:r>
    </w:p>
    <w:p>
      <w:pPr>
        <w:spacing w:after="0" w:line="76"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publication of research reports about us or our industry, or product candidates in particular, or positive or negative recommendations or withdrawal of research coverage by securities analysts;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changes in the structure of the healthcare payment systems;</w:t>
      </w:r>
    </w:p>
    <w:p>
      <w:pPr>
        <w:spacing w:after="0" w:line="134" w:lineRule="exact"/>
        <w:rPr>
          <w:sz w:val="20"/>
          <w:szCs w:val="20"/>
          <w:color w:val="auto"/>
        </w:rPr>
      </w:pPr>
    </w:p>
    <w:p>
      <w:pPr>
        <w:ind w:left="980" w:right="2980"/>
        <w:spacing w:after="0" w:line="380" w:lineRule="auto"/>
        <w:rPr>
          <w:sz w:val="20"/>
          <w:szCs w:val="20"/>
          <w:color w:val="auto"/>
        </w:rPr>
      </w:pPr>
      <w:r>
        <w:rPr>
          <w:rFonts w:ascii="Times New Roman" w:cs="Times New Roman" w:eastAsia="Times New Roman" w:hAnsi="Times New Roman"/>
          <w:sz w:val="20"/>
          <w:szCs w:val="20"/>
          <w:color w:val="auto"/>
        </w:rPr>
        <w:t>market conditions in the pharmaceutical and biotechnology sectors; overall performance of the equity markets;</w:t>
      </w:r>
    </w:p>
    <w:p>
      <w:pPr>
        <w:ind w:left="980" w:right="3080"/>
        <w:spacing w:after="0" w:line="380" w:lineRule="auto"/>
        <w:rPr>
          <w:sz w:val="20"/>
          <w:szCs w:val="20"/>
          <w:color w:val="auto"/>
        </w:rPr>
      </w:pPr>
      <w:r>
        <w:rPr>
          <w:rFonts w:ascii="Times New Roman" w:cs="Times New Roman" w:eastAsia="Times New Roman" w:hAnsi="Times New Roman"/>
          <w:sz w:val="20"/>
          <w:szCs w:val="20"/>
          <w:color w:val="auto"/>
        </w:rPr>
        <w:t>sales of our common stock by us or our stockholders in the future; trading volume of our common stock;</w:t>
      </w:r>
    </w:p>
    <w:p>
      <w:pPr>
        <w:ind w:left="480"/>
        <w:spacing w:after="0"/>
        <w:rPr>
          <w:sz w:val="20"/>
          <w:szCs w:val="20"/>
          <w:color w:val="auto"/>
        </w:rPr>
      </w:pPr>
      <w:r>
        <w:rPr>
          <w:rFonts w:ascii="Times New Roman" w:cs="Times New Roman" w:eastAsia="Times New Roman" w:hAnsi="Times New Roman"/>
          <w:sz w:val="20"/>
          <w:szCs w:val="20"/>
          <w:color w:val="auto"/>
        </w:rPr>
        <w:t>changes in accounting practices;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ineffectiveness of our internal controls;</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pacing w:after="0" w:line="58" w:lineRule="exact"/>
        <w:rPr>
          <w:sz w:val="20"/>
          <w:szCs w:val="20"/>
          <w:color w:val="auto"/>
        </w:rPr>
      </w:pPr>
    </w:p>
    <w:p>
      <w:pPr>
        <w:ind w:left="980" w:right="3400"/>
        <w:spacing w:after="0" w:line="380" w:lineRule="auto"/>
        <w:rPr>
          <w:sz w:val="20"/>
          <w:szCs w:val="20"/>
          <w:color w:val="auto"/>
        </w:rPr>
      </w:pPr>
      <w:r>
        <w:rPr>
          <w:rFonts w:ascii="Times New Roman" w:cs="Times New Roman" w:eastAsia="Times New Roman" w:hAnsi="Times New Roman"/>
          <w:sz w:val="20"/>
          <w:szCs w:val="20"/>
          <w:color w:val="auto"/>
        </w:rPr>
        <w:t>significant lawsuits, including patent or stockholder litigation; general political and economic conditions;</w:t>
      </w:r>
    </w:p>
    <w:p>
      <w:pPr>
        <w:ind w:left="980" w:right="1240"/>
        <w:spacing w:after="0" w:line="380" w:lineRule="auto"/>
        <w:rPr>
          <w:sz w:val="20"/>
          <w:szCs w:val="20"/>
          <w:color w:val="auto"/>
        </w:rPr>
      </w:pPr>
      <w:r>
        <w:rPr>
          <w:rFonts w:ascii="Times New Roman" w:cs="Times New Roman" w:eastAsia="Times New Roman" w:hAnsi="Times New Roman"/>
          <w:sz w:val="20"/>
          <w:szCs w:val="20"/>
          <w:color w:val="auto"/>
        </w:rPr>
        <w:t>the level of expenses related to our product candidates or clinical development programs; investors’ general perception of us and our business; and</w:t>
      </w:r>
    </w:p>
    <w:p>
      <w:pPr>
        <w:ind w:left="480"/>
        <w:spacing w:after="0"/>
        <w:rPr>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24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securities class action litigation.</w:t>
      </w:r>
    </w:p>
    <w:p>
      <w:pPr>
        <w:spacing w:after="0" w:line="23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Our stock price has been and will likely continue to be volatile. 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94"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in their implementation or interpretation may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33" w:right="1440" w:bottom="177" w:gutter="0" w:footer="0" w:header="0"/>
        </w:sectPr>
      </w:pPr>
    </w:p>
    <w:bookmarkStart w:id="80" w:name="page81"/>
    <w:bookmarkEnd w:id="80"/>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Changes in tax law may adversely affect our business or financial condition. The TCJA, as amended by the CARES Act, significantly reformed the U.S. Internal Revenue Code of 1986, as amended, or the Code. The TCJA, among other things, contained significant changes to corporate taxation, including a reduction of the corporate tax rate from a top marginal rate of 35% to a flat rate of 21% and, the limitation of the deduction for net operating losses to 80% of current year taxable income for net operating losses arising in taxable years beginning after December 31, 2017 (though any such net operating losses may be carried forward indefinitely). In addition, beginning in 2022, the TCJA eliminated the option to deduct research and development expenditures currently and requires corporations to capitalize and amortize them over five years or fifteen years (for expenditures attributable to foreign research).</w:t>
      </w:r>
    </w:p>
    <w:p>
      <w:pPr>
        <w:spacing w:after="0" w:line="20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addition to the CARES Act, as part of Congress’ response to the COVID-19 pandemic, economic relief legislation was enacted in 2020 and 2021 containing tax provisions. The Inflation Reduction Act, or IRA, was also signed into law in August 2022. The IRA introduced new tax provisions, including a 1% excise tax imposed on certain stock repurchases by publicly traded corporations. The 1% excise tax generally applies to any acquisition by the publicly traded corporation (or certain of its affiliates) of stock of the publicly traded corporation in exchange for money or other property (other than stock of the corporation itself), subject to a de minimis exception. Thus, the excise tax could apply to certain transactions that are not traditional stock repurchases.</w:t>
      </w:r>
    </w:p>
    <w:p>
      <w:pPr>
        <w:spacing w:after="0" w:line="19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On July 4, 2025, the One Big Beautiful Bill Act (the “OBBBA”) was enacted. The OBBBA amends U.S. tax law including provisions related to domestic research and development expenses and bonus depreciation, among others. The provision related to domestic research and development expenses allows for immediate expensing of domestic research and development costs along with accelerated deductions on previously capitalized domestic research and development costs. The Company has included impacts for the provisions in effect for tax years beginning after December 31, 2024 in its consolidated financial statements for the year ended December 31, 2025 and notes there was not a material impact.</w:t>
      </w:r>
    </w:p>
    <w:p>
      <w:pPr>
        <w:spacing w:after="0" w:line="20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Regulatory guidance under the OBBBA, TCJA, the IRA, and such additional legislation is and continues to be forthcoming, and such guidance could ultimately increase or lessen impact of these laws on our business and financial condition. In addition, it is uncertain if and to what extent various states will conform to the OBBBA, TCJA, the IRA, and additional tax legislation.</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common stock so any returns will be limited to the value of 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w:t>
      </w:r>
    </w:p>
    <w:p>
      <w:pPr>
        <w:spacing w:after="0" w:line="232"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We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178"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our total outstanding shares may be sold into the market at any time, which could cause the market price of our common stock to drop significantly, even if our business is doing well.</w:t>
      </w:r>
    </w:p>
    <w:p>
      <w:pPr>
        <w:spacing w:after="0" w:line="166" w:lineRule="exact"/>
        <w:rPr>
          <w:sz w:val="20"/>
          <w:szCs w:val="20"/>
          <w:color w:val="auto"/>
        </w:rPr>
      </w:pPr>
    </w:p>
    <w:p>
      <w:pPr>
        <w:jc w:val="both"/>
        <w:ind w:firstLine="490"/>
        <w:spacing w:after="0" w:line="266" w:lineRule="auto"/>
        <w:rPr>
          <w:sz w:val="20"/>
          <w:szCs w:val="20"/>
          <w:color w:val="auto"/>
        </w:rPr>
      </w:pPr>
      <w:r>
        <w:rPr>
          <w:rFonts w:ascii="Times New Roman" w:cs="Times New Roman" w:eastAsia="Times New Roman" w:hAnsi="Times New Roman"/>
          <w:sz w:val="19"/>
          <w:szCs w:val="19"/>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24, 2026, we had 28,039,032 shares of common stock outstanding and 12,232 shares of our Series X non-voting convertible preferred stock, or Series X Preferred Stock, outstanding, which were convertible into 12,232,000 shares of common stock, subject to beneficial ownership limitations.</w:t>
      </w:r>
    </w:p>
    <w:p>
      <w:pPr>
        <w:spacing w:after="0" w:line="179"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In connection with our October 2023 private placement, we filed a resale registration statement with the SEC covering the resale of the shares purchased by the purchasers in the private placement and shares issuable upon exercise of the warrants issued in the private placement. The shares subject to the resale registration statement no longer constitute restricted securities and may be sold freely in the public markets, subject to lapse on any related contractual restrictions related thereto of any purchaser and subject to volume limitations applicable to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18" w:right="1440" w:bottom="177" w:gutter="0" w:footer="0" w:header="0"/>
        </w:sectPr>
      </w:pPr>
    </w:p>
    <w:bookmarkStart w:id="81" w:name="page82"/>
    <w:bookmarkEnd w:id="81"/>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We have also registered all shares of common stock that we may issue under our equity compensation plans, including upon exercise of outstanding options. These shares can be freely sold in the public market upon issuance, subject to volume limitations applicable to affiliates.</w:t>
      </w:r>
    </w:p>
    <w:p>
      <w:pPr>
        <w:spacing w:after="0" w:line="18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Assuming the conversion of all outstanding Series X Preferred Stock and the exercise of outstanding warrants, there is a concentration of ownership of our outstanding common stock by one group of affiliated stockholders. If this group chooses to act together, it could exert substantial influence over our business, and the interests of this group may conflict with those of other stockholders.</w:t>
      </w:r>
    </w:p>
    <w:p>
      <w:pPr>
        <w:spacing w:after="0" w:line="191"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As of March 24, 2026, entities and individuals affiliated with Bios Partners, or collectively, the Bios Entities, beneficially owned 7.11% of our outstanding common stock. This ownership percentage does not, due to certain restrictions on conversion and exercisability, take into account the issuance of all shares of our common stock upon conversion of the Series X Preferred Stock or upon exercise of the warrants issued to the Bios Entities in our October 2023 private placement.</w:t>
      </w:r>
    </w:p>
    <w:p>
      <w:pPr>
        <w:spacing w:after="0" w:line="192"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Certificate of Designation for the Series X Preferred Stock provides that any holder of Series X Preferred Stock will not have a right to convert, subject to certain exceptions, the Series X Preferred Stock for our common stock if, as a result of such conversion, the holder, together with its affiliates and other attribution parties, would hold 19.99% of the total number of shares of our common stock then outstanding, subject to decrease upon written notice by the holder. Similarly, under the terms of the warrants a holder shall not have the right to exercise any portion of any warrant, to the extent that after giving effect to such exercise, the holder (together with its affiliates and any other persons acting as a group together with the holder or any of its affiliates), would beneficially own in excess of a percentage elected by the holder up to 19.99% of the number of shares of our common stock outstanding immediately after giving effect to such exercise, as such percentage ownership is determined in accordance with the terms of the warrants. Assuming the conversion of all outstanding Series X Preferred Stock and the exercise of all outstanding warrants, options and any other rights to acquire our common stock, and without giving effect to the foregoing beneficial ownership limitations on Series X Preferred Stock and the warrants, the Bios Entities would, as of March 24, 2026, own 38.4% of our common stock on a fully diluted basis.</w:t>
      </w:r>
    </w:p>
    <w:p>
      <w:pPr>
        <w:spacing w:after="0" w:line="203"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If any of the Bios Entities acted together, they could be able to exert substantial influence over our business. Additionally, the interests of the Bios Entities may be different from or conflict with the interests of our other stockholders. This concentration of voting power with the Bios Entities could delay, defer, or prevent a change of control, entrench our management and the Board of Directors, or delay or prevent a merger, consolidation, takeover, or other business combination involving us on terms that other stockholders may desire. In addition, conflicts of interest could arise in the future between us, on the one hand, and the Bios Entities on the other hand, concerning potential competitive business activities, business opportunities, the issuance of additional securities and other matters.</w:t>
      </w:r>
    </w:p>
    <w:p>
      <w:pPr>
        <w:spacing w:after="0" w:line="188"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Provisions in our certificate of incorporation and our bylaws may discourage, delay or prevent a merger, acquisition or other change in control of us that stockholders may consider favorable, including transactions in which stockholders might otherwise receive a premium for shares of common stock.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7" w:lineRule="exact"/>
        <w:rPr>
          <w:sz w:val="20"/>
          <w:szCs w:val="20"/>
          <w:color w:val="auto"/>
        </w:rPr>
      </w:pPr>
    </w:p>
    <w:p>
      <w:pPr>
        <w:ind w:left="980" w:right="80"/>
        <w:spacing w:after="0" w:line="400" w:lineRule="auto"/>
        <w:rPr>
          <w:sz w:val="20"/>
          <w:szCs w:val="20"/>
          <w:color w:val="auto"/>
        </w:rPr>
      </w:pPr>
      <w:r>
        <w:rPr>
          <w:rFonts w:ascii="Times New Roman" w:cs="Times New Roman" w:eastAsia="Times New Roman" w:hAnsi="Times New Roman"/>
          <w:sz w:val="20"/>
          <w:szCs w:val="20"/>
          <w:color w:val="auto"/>
        </w:rPr>
        <w:t>establish a classified board of directors such that not all members of the board are elected at one time; allow the authorized number of our directors to be changed only by resolution of our board of directors; limit the manner in which stockholders can remove directors from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18" w:right="1440" w:bottom="177" w:gutter="0" w:footer="0" w:header="0"/>
        </w:sectPr>
      </w:pPr>
    </w:p>
    <w:bookmarkStart w:id="82" w:name="page83"/>
    <w:bookmarkEnd w:id="82"/>
    <w:p>
      <w:pPr>
        <w:ind w:left="980"/>
        <w:spacing w:after="0" w:line="279" w:lineRule="auto"/>
        <w:rPr>
          <w:sz w:val="20"/>
          <w:szCs w:val="20"/>
          <w:color w:val="auto"/>
        </w:rPr>
      </w:pPr>
      <w:r>
        <w:rPr>
          <w:rFonts w:ascii="Times New Roman" w:cs="Times New Roman" w:eastAsia="Times New Roman" w:hAnsi="Times New Roman"/>
          <w:sz w:val="20"/>
          <w:szCs w:val="20"/>
          <w:color w:val="auto"/>
        </w:rPr>
        <w:t>establish advance notice requirements for stockholder proposals that can be acted on at stockholder meetings and nominations to our board of directors;</w:t>
      </w:r>
    </w:p>
    <w:p>
      <w:pPr>
        <w:spacing w:after="0" w:line="5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limit who may call stockholder meetings;</w:t>
      </w:r>
    </w:p>
    <w:p>
      <w:pPr>
        <w:spacing w:after="0" w:line="134"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require the approval of the holders of at least 75% of the votes that all our stockholders would be entitled to cast to amend or repeal certain provisions of our charter or bylaws.</w:t>
      </w:r>
    </w:p>
    <w:p>
      <w:pPr>
        <w:spacing w:after="0" w:line="16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officers and employees.</w:t>
      </w:r>
    </w:p>
    <w:p>
      <w:pPr>
        <w:spacing w:after="0" w:line="192"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We do not expect this choice of forum provision will apply to suits brought to enforce a duty or liability created by the Securities Act, the Exchange Act of 1934, as amended, or any other claim for which federal courts have exclusive jurisdiction.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1"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We are a clinical stage biopharmaceutical company with no commercial operations or revenue streams and our sole business activity has been ongoing research into our drug therapies. We have certain processes for assessing, identifying and managing cybersecurity threats, including any potential unauthorized occurrence on or conducted through our information systems, which are built into our overall risk management program. Our processes are designed to preserve the confidentiality, integrity, and availability of the information that we collect and store by identifying, preventing, and mitigating cybersecurity threats and effectively responding to cybersecurity incidents when they occur. Such processes include physical, procedural and technical safeguards, and response plans on our systems. We engage an external consultant to manage cybersecurity tooling and incident response, as well as general information technology, or IT, systems, which enhance our cybersecurity oversight. We consider the internal risk of oversight programs of the third-party consultant before engaging them in order to help protect us from any related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33" w:right="1440" w:bottom="177" w:gutter="0" w:footer="0" w:header="0"/>
        </w:sectPr>
      </w:pPr>
    </w:p>
    <w:bookmarkStart w:id="83" w:name="page84"/>
    <w:bookmarkEnd w:id="83"/>
    <w:p>
      <w:pPr>
        <w:jc w:val="both"/>
        <w:spacing w:after="0" w:line="279" w:lineRule="auto"/>
        <w:rPr>
          <w:sz w:val="20"/>
          <w:szCs w:val="20"/>
          <w:color w:val="auto"/>
        </w:rPr>
      </w:pPr>
      <w:r>
        <w:rPr>
          <w:rFonts w:ascii="Times New Roman" w:cs="Times New Roman" w:eastAsia="Times New Roman" w:hAnsi="Times New Roman"/>
          <w:sz w:val="20"/>
          <w:szCs w:val="20"/>
          <w:color w:val="auto"/>
        </w:rPr>
        <w:t>vulnerabilities. As our company grows, we plan to expand our strategy for cybersecurity in alignment with nationally accepted standards.</w:t>
      </w:r>
    </w:p>
    <w:p>
      <w:pPr>
        <w:spacing w:after="0" w:line="16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Based on an assessment using the previously described cybersecurity risk management program, we do not believe that there are currently any risks from known cybersecurity threats, including as a result of any prior cybersecurity incidents, that have materially affected or are reasonably likely to materially affect us, including our business strategy, results of operations or financial condition. For additional information regarding risks from cybersecurity threats, please refer to Item 1A. “Risk Factors” in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42"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19"/>
          <w:szCs w:val="19"/>
          <w:color w:val="auto"/>
        </w:rPr>
        <w:t>Our management and board of directors recognize the critical importance of maintaining the trust and confidence of our business partners and employees, including the importance of managing cybersecurity risks as part of our larger risk management program. We seek to address cybersecurity risks through a cross-functional approach.</w:t>
      </w:r>
    </w:p>
    <w:p>
      <w:pPr>
        <w:spacing w:after="0" w:line="16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One of the key functions of our board of directors is informed oversight of our risk management process, including risks from cybersecurity threats. Our board of directors is responsible for monitoring and assessing strategic risk exposure, and our audit committee, comprised of members with substantial experience in information technology governance and risk management, oversees our cybersecurity strategy. Our board of directors receives periodic updates from management regarding cybersecurity matters, and is notified between such updates regarding significant new cybersecurity threats or incidents.</w:t>
      </w:r>
    </w:p>
    <w:p>
      <w:pPr>
        <w:spacing w:after="0" w:line="20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Our executive officers are responsible for the day-to-day management of the material risks that we face. Our executive officers are led by a third-party consultant, who oversees company-wide cybersecurity strategy, policy, standards and processes and works across relevant departments to assess and help prepare us and our employees to address cybersecurity risks. The third-party consultant is advised by their Security Operations Center Manager with a variety of technical certifications, as well as extensive background in IT infrastructure, risk mitigation, and incident response planning.</w:t>
      </w:r>
    </w:p>
    <w:p>
      <w:pPr>
        <w:spacing w:after="0" w:line="200"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In an effort to deter and detect cyber threats, we annually provide all employees, including part-time and temporary employees, with a data protection, cybersecurity and incident response and prevention training and compliance program, which covers a range of timely and relevant topics. Past topics have included social engineering, phishing, password protection, confidential data protection, asset use and mobile security. The training and compliance program functions to educate employees on the importance of reporting all incidents immediately. We also use technology-based tools to mitigate cybersecurity risks and to bolster our employee-based cybersecurity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1"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On August 16, 2021, Lung entered into an operating lease agreement to rent approximately 6,455 square feet of office space for its corporate headquarters in Austin, Texas, beginning on October 1, 2021. The lease expired March 31, 2024, and we did not renew the lease. Following expiration of the lease, we are operating virtually, and expect to do so for the foreseeable future. Our current address is used solely as a mailing address for the receipt of correspondence.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We are not currently a party to any material legal proceedings. From time to time, we may be subject to various legal proceedings and claims that arise in the ordinary course of our business activities. Regardless of the outcome, litigation can have a material adverse impact on us because of defense and settlement, costs, diversion of management resources, and other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18" w:right="1440" w:bottom="177"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Our common stock trades under the symbol “RNTX” on the Nasdaq Capital Market and had been publicly traded since June 29, 2017. Prior to this time, there was no public market for our common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Our Common Stock</w:t>
      </w:r>
    </w:p>
    <w:p>
      <w:pPr>
        <w:spacing w:after="0" w:line="242"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As of March 24, 2026, there were approximately 117 holders of record of shares of our common stock. This number does not include stockholders for whom shares are held in “nominee” or “street” name.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2" w:lineRule="exact"/>
        <w:rPr>
          <w:sz w:val="20"/>
          <w:szCs w:val="20"/>
          <w:color w:val="auto"/>
        </w:rPr>
      </w:pPr>
    </w:p>
    <w:p>
      <w:pPr>
        <w:jc w:val="both"/>
        <w:ind w:firstLine="490"/>
        <w:spacing w:after="0" w:line="266" w:lineRule="auto"/>
        <w:rPr>
          <w:sz w:val="20"/>
          <w:szCs w:val="20"/>
          <w:color w:val="auto"/>
        </w:rPr>
      </w:pPr>
      <w:r>
        <w:rPr>
          <w:rFonts w:ascii="Times New Roman" w:cs="Times New Roman" w:eastAsia="Times New Roman" w:hAnsi="Times New Roman"/>
          <w:sz w:val="19"/>
          <w:szCs w:val="19"/>
          <w:color w:val="auto"/>
        </w:rPr>
        <w:t>We have never declared nor paid cash dividends on our common stock. We currently intend to retain all of our future earnings, if any, to finance the growth and development of our business. We do not intend to pay cash dividends in respect of our common stock in the foreseeable future. Any future determination to pay cash dividends will be made at the discretion of our board of directors and will depend on restrictions and other factors our board of directors may deem relevant. Investors should not purchase our common stock with the expectation of receiving cash dividends.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4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April 2025, certain institutional investors, including Bios Equity Partners, LP, or Bios Partners, exercised warrants for the purchase of 1,049,638 share of our common stock for the gross proceeds of $ 1.7 million and exchanged outstanding warrants for pre-funded warrants and the cash purchase price of an aggregate of $3.1 million. All shares of common stock and warrants were issued pursuant to Section 4(a)(2) of the Securities Act, as transactions not involving a public offering. For more information, see “Management’s Discussion and Analysis of Financial Condition and Results of Operations–Overview and Recent Developments–April 2025 Warrant Transactions and Private Placement.”</w:t>
      </w:r>
    </w:p>
    <w:p>
      <w:pPr>
        <w:spacing w:after="0" w:line="20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2025, we sold 2,727,162 shares of our common stock to Yorkville, in satisfaction of an aggregate of $ 3.0 million of principal and accrued interest owed by us to Yorkville under our Pre-Paid Advance Agreement dated July 29, 2025. All shares of common stock issued and sold to Yorkville were issued pursuant to Section 4(a)(2) of the Securities Act, as transactions not involving a public offering.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42"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Information about our equity compensation plans will be included in our definitive proxy statement to be filed with the SEC with respect to our 2026 Annual Meeting of Stockholders and is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16" w:right="1440" w:bottom="177"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5"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are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You should read the following discussion and analysis of our financial condition and results of operations together with our audited consolidated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in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and Recent Developments</w:t>
      </w:r>
    </w:p>
    <w:p>
      <w:pPr>
        <w:spacing w:after="0" w:line="121"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We are a clinical stage biopharmaceutical company focused on developing novel therapies for the treatment of orphan pulmonary and fibrosis indications with no approved or limited effective treatments. We currently have one lead product candidate in clinical development, LTI-03. As a result of our current capital limitations, we have suspended development activities for LTI-01 and our candidates in preclinical development focused on fibrosis indications for an indefinite period and are allocating our limited resources to LTI-03, as it is further discussed below. Our pipeline includes:</w:t>
      </w:r>
    </w:p>
    <w:p>
      <w:pPr>
        <w:spacing w:after="0" w:line="89"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LTI-03, a peptide, for which we conducted a Phase 1b dose-ranging, placebo-controlled safety, tolerability, and pharmacodynamic biomarker activity trial in development for the treatment of Idiopathic Pulmonary Fibrosis, or IPF, that has demonstrated the ability to protect healthy lung epithelial cells and reduce pro-fibrotic signaling;</w:t>
      </w:r>
    </w:p>
    <w:p>
      <w:pPr>
        <w:spacing w:after="0" w:line="85"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LTI-01, a proenzyme that completed a Phase 2a dose-ranging, placebo-controlled trial and a Phase 1b safety, tolerability and proof of mechanism trial in loculated pleural effusion, or LPE, patients, an indication that has no approved drug treatment; and</w:t>
      </w:r>
    </w:p>
    <w:p>
      <w:pPr>
        <w:spacing w:after="0" w:line="7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preclinical programs targeting cystic fibrosis and a peptide program focused on the Cav1 protein for systemic fibrosis indications.</w:t>
      </w:r>
    </w:p>
    <w:p>
      <w:pPr>
        <w:spacing w:after="0" w:line="4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In June 2024, we decided to temporarily delay clinical development of LTI-01 and other pre-clinical candidates in an effort to focus our resources on clinical development of LTI-03 and until additional funds are raised. In the fourth quarter of 2024, we determined that the temporary delay of further clinical development of LTI-01 may not be a short-term measure. In the fourth quarter of 2025, we decided to pause development activities related to LTI-01 for an indefinite period.</w:t>
      </w:r>
    </w:p>
    <w:p>
      <w:pPr>
        <w:spacing w:after="0" w:line="72"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May 2025, we initiated screening and recruitment of patients in the RENEW Phase 2 clinical trial of LTI-03. The RENEW trial is a Phase 2 multi-center, randomized, double-blind, placebo-controlled study evaluating the safety, tolerability, and efficacy of LTI-03 patients with IPF. In addition, the trial is designed to assess the activity of inhaled dry powder LTI-03 across multiple biomarkers and to measure lung function and the potential for healthy tissue regeneration. The trial is designed to enroll approximately 120 patients diagnosed with IPF within 5 years of screening, who may be receiving standard of care antifibrotic therapy, across up to 50 sites globally, including sites in the United States, United Kingdom, Germany, Austria and Poland. Patients will be randomized into two blinded placebo-controlled cohorts that will run concurrently. Patients in the low dose cohort will receive 2.5 mg of either LTI-03 or placebo administered twice daily, or BID, for a total dose of 5 mg/day, while participants in the high dose cohort will receive 5 mg BID for a total dose of 10 mg/day. The primary endpoint is the incidence of treatment-emergent adverse events from Day 1 through Week 24. The key secondary endpoint is the efficacy of LTI-03 measured through forced vital capacity, percent predicted FVC and high-resolution computer tomography, in collaboration with Qureight Ltd. Patients will undergo a 28-day screening period prior to being randomized and entering the 24-week treatment period, with a four-week follow-up.</w:t>
      </w:r>
    </w:p>
    <w:p>
      <w:pPr>
        <w:spacing w:after="0" w:line="69"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In October 2025, we received authorization from the European Medicines Agency, or the EMA, to initiate our Phase 2 RENEW trial of our lead candidate, LTI-03, at sites in Germany and Poland. We had previously received regulatory clearance from the U.K.’s Medicines and Healthcare products Regulatory Agency, or the MHRA. In January 2026, we received orphan drug designation from the EMA for LTI-03.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16" w:right="1440" w:bottom="177" w:gutter="0" w:footer="0" w:header="0"/>
        </w:sectPr>
      </w:pPr>
    </w:p>
    <w:bookmarkStart w:id="86" w:name="page87"/>
    <w:bookmarkEnd w:id="86"/>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As of the date of this Annual Report, we activated sites and are enrolling patients in the U.S. and are seeking to activate additional sites, enroll patients and initiate the RENEW trial throughout the U.S., UK, Europe and other jurisdictions. In March 2026, we dosed our first patient in the RENEW Phase 2 clinical trial of LTI-03. We expect to report initial interim topline data on some proportion of patients in the fourth quarter of 2026.</w:t>
      </w:r>
    </w:p>
    <w:p>
      <w:pPr>
        <w:spacing w:after="0" w:line="82"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We have not completed the development of any of our product candidates, have not generated any revenue from product sales and have never generated an operating profit.</w:t>
      </w:r>
    </w:p>
    <w:p>
      <w:pPr>
        <w:spacing w:after="0" w:line="33" w:lineRule="exact"/>
        <w:rPr>
          <w:sz w:val="20"/>
          <w:szCs w:val="20"/>
          <w:color w:val="auto"/>
        </w:rPr>
      </w:pPr>
    </w:p>
    <w:p>
      <w:pPr>
        <w:jc w:val="both"/>
        <w:ind w:firstLine="490"/>
        <w:spacing w:after="0" w:line="231" w:lineRule="auto"/>
        <w:rPr>
          <w:sz w:val="20"/>
          <w:szCs w:val="20"/>
          <w:color w:val="auto"/>
        </w:rPr>
      </w:pPr>
      <w:r>
        <w:rPr>
          <w:rFonts w:ascii="Times New Roman" w:cs="Times New Roman" w:eastAsia="Times New Roman" w:hAnsi="Times New Roman"/>
          <w:sz w:val="20"/>
          <w:szCs w:val="20"/>
          <w:color w:val="auto"/>
        </w:rPr>
        <w:t>To date, we have financed operations primarily through $145.5 million in net proceeds from sales of common stock and warrants, $2.2 million in net proceeds from sales of common stock under our “at the market” offering program, $131.2 million from sales of preferred stock prior to our initial public offering, or IPO, $34.9 million from a collaboration agreement in 2010, $17.5 million in net proceeds in connection with a private placement following the Lung Acquisition (as defined below) in 2023, $17.7 million in net proceeds in connection with the issuance and sale of shares and accompanying warrants in our public offering in May 2024, $5.1 million in net proceeds from the April 2025 Transactions (as defined below), $2.9 million in net proceeds from the Yorkville Transactions described below and $4.3 million of net proceeds from our 2026 promissory notes described below. As of December 31, 2025, we had $3.2 million in cash and cash equivalents, without giving effect to the $4.3 million of proceeds from our 2026 promissory notes.</w:t>
      </w:r>
    </w:p>
    <w:p>
      <w:pPr>
        <w:spacing w:after="0" w:line="72"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color w:val="auto"/>
        </w:rPr>
        <w:t>Since our inception, we have incurred significant losses on an aggregate basis. Our net losses were $49.9 million and $62.9 million for the years ended December 31, 2025 and 2024, respectively. As of December 31, 2025, we had an accumulated deficit of $401.3 million. These losses have resulted primarily from costs incurred in connection with research and development activities, licensing and patent investment and general and administrative costs associated with our operations as well as the impairment loss on intangible assets. We expect to continue to incur operating losses for the foreseeable future.</w:t>
      </w:r>
    </w:p>
    <w:p>
      <w:pPr>
        <w:spacing w:after="0" w:line="74" w:lineRule="exact"/>
        <w:rPr>
          <w:sz w:val="20"/>
          <w:szCs w:val="20"/>
          <w:color w:val="auto"/>
        </w:rPr>
      </w:pPr>
    </w:p>
    <w:p>
      <w:pPr>
        <w:jc w:val="both"/>
        <w:ind w:firstLine="490"/>
        <w:spacing w:after="0" w:line="229" w:lineRule="auto"/>
        <w:rPr>
          <w:sz w:val="20"/>
          <w:szCs w:val="20"/>
          <w:color w:val="auto"/>
        </w:rPr>
      </w:pPr>
      <w:r>
        <w:rPr>
          <w:rFonts w:ascii="Times New Roman" w:cs="Times New Roman" w:eastAsia="Times New Roman" w:hAnsi="Times New Roman"/>
          <w:sz w:val="20"/>
          <w:szCs w:val="20"/>
          <w:color w:val="auto"/>
        </w:rPr>
        <w:t>As of December 31, 2025, we had cash and cash equivalents of $3.2 million. Based on our current operating plan, we believe that our existing cash and cash equivalents as of December 31, 2025, together with the $4.3 million of proceeds received by us pursuant to the securities purchase agreements we entered into in January and February 2026, will be sufficient to enable us to fund our planned operating expense and capital expenditure requirements into the second quarter of 2026. These funds are not sufficient to enable us to complete the Phase 2 RENEW clinical trial of LTI-03 and we will need to obtain additional funding prior to completing the trial. Our future viability is dependent on our ability to raise additional capital to finance our operations. Our estimate as to how long we expect our existing cash and cash equivalents to be able to continue to fund our operations is based on assumptions that may prove to be wrong, and we could use our available capital resources sooner than we currently expect. In addition, our existing cash and cash equivalents will not be sufficient to fund all of the efforts that we plan to undertake or to fund the completion of development of our product candidates. Accordingly, we will be required to obtain further funding through public or private equity offerings, debt financings, collaborations and licensing arrangements or other sources. There is no assurance that we will be successful in obtaining sufficient funding on terms acceptable to us to fund continuing operations, or at all. If we are unable to obtain sufficient funding on terms acceptable to us, on a timely basis or at all, we may be forced to delay, reduce or eliminate some or all of our research and development programs, product portfolio expansion or future commercialization efforts, which could adversely affect our business prospects, or we may be unable to continue operations.</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2026 Bridge Loans</w:t>
      </w:r>
    </w:p>
    <w:p>
      <w:pPr>
        <w:spacing w:after="0" w:line="11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In January 2026 and February 2026, we entered into separate securities purchase agreements, or the Purchase Agreements, with three institutional investors pursuant to which we issued and sold to the investors, in a private placement, unsecured promissory notes in the aggregate original principal amount of $5.4 million, or the Notes. Pursuant to the Purchase Agreements, we issued and sold the Notes to the investors for the aggregate purchase price of $4.3 million, inclusive of an original issue discount of 20%.</w:t>
      </w:r>
    </w:p>
    <w:p>
      <w:pPr>
        <w:spacing w:after="0" w:line="7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Notes have a stated maturity date of the earlier of (i) the date of the closing of the next issuance and sale of our securities, in a single transaction or series of related transactions, to investors resulting in gross proceeds to us of at least $10.0 million (exclusive of the Notes proceeds) or (ii) June 30, 2026. Our obligations under the Notes are unsecured. There is no interest payable under the Notes other than the 20% original issue discount. The Purchase Agreements contained representations, warranties, covenants and other terms customary for agreements of such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06" w:right="1440" w:bottom="177" w:gutter="0" w:footer="0" w:header="0"/>
        </w:sectPr>
      </w:pPr>
    </w:p>
    <w:bookmarkStart w:id="87" w:name="page88"/>
    <w:bookmarkEnd w:id="87"/>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Pre-Paid Advance Agreement and Standby Equity Purchase Agreement with Yorkville</w:t>
      </w:r>
    </w:p>
    <w:p>
      <w:pPr>
        <w:spacing w:after="0" w:line="117"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On July 29, 2025, we entered into a Pre-Paid Advance Agreement, or the PPA, and a Standby Equity Purchase Agreement, or the SEPA, with YA II PN, Ltd., a Cayman Islands exempt limited partnership, or Yorkville. The PPA and the SEPA are collectively referred to as the Yorkville Transactions.</w:t>
      </w:r>
    </w:p>
    <w:p>
      <w:pPr>
        <w:spacing w:after="0" w:line="63"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Under the PPA, we may request up to $6.0 million in pre-paid advances from Yorkville over a 12-month period, subject to certain limitations and conditions set forth in the PPA. Each pre-paid advance will be purchased by Yorkville at 95% of the face amount of the pre-paid advance. An initial pre-paid advance of $1.0 million was purchased on July 29, 2025 by Yorkville, for net proceeds of $0.95 million. Each additional pre-paid advance shall be subject to the consent of Yorkville. Interest shall accrue on the outstanding balance of any pre-paid advance at an annual rate of 8%, subject to an increase to 18% upon events of default described in the PPA. At any time that there is an outstanding balance under any pre-paid advances, Yorkville may provide a written notice to require us to issue and sell shares of common stock to offset against and reduce the balance under the pre-paid advances at a price per share equal to the lower of (i) 115% of the daily volume weighted average price, or the VWAP, of our common stock on the Nasdaq Capital Market on the last full trading day immediately prior to the date of such pre-paid advance and (ii) 95% of the lowest daily VWAP on the Nasdaq Capital Market during the seven consecutive trading days immediately preceding the date on which Yorkville provides such a purchase notice, subject to a floor price of $0.28 per share. Cash amortization payments will be triggered if the daily VWAP falls below the floor price for five of seven consecutive trading days, or in the event of any shares issued pursuant to the PPA are not eligible to be sold pursuant to an effective registration statement for a period of 10 consecutive trading days, or if we have issued substantially all of the shares available under certain exchange cap limitations.</w:t>
      </w:r>
    </w:p>
    <w:p>
      <w:pPr>
        <w:spacing w:after="0" w:line="9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On September 8, 2025, Yorkville purchased a second Pre-Paid Advance, or the Second Advance, of $1.0 million, for which we received net proceeds of $0.95 million. On October 23, 2025, Yorkville purchased a third Pre-Paid Advance, or the Third Advance, of $1.0 million, for which we received net proceeds of $0.95 million. As of the date of this report, we have issued 953,765 shares of our common stock, at a weighted average price per share of approximately $1.056, to Yorkville, which were offset against $1.0 million of the outstanding principal and accrued interest under the initial Pre-Paid Advance, and issued 927,107 shares of our common stock, at a weighted average price per share of approximately $1.082, to Yorkville, which were offset against $1.0 million of the outstanding principal and accrued interest under the Second Pre-Paid Advance, and issued 846,290 shares of our common stock, at a weighted average price per share of approximately $1.183, to Yorkville, which were offset against $1.0 million of the outstanding principal and accrued interest under the Third Pre-Paid Advance. All three Pre-Paid Advances were fully settled as of December 31, 2025, with no remaining outstanding balance. Accordingly, the fair value of the liabilities at December 31, 2025, was $0, and no adjustment for changes in fair value was required during the year ended December 31, 2025.</w:t>
      </w:r>
    </w:p>
    <w:p>
      <w:pPr>
        <w:spacing w:after="0" w:line="8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Separately, under the SEPA, we may sell up to $15.0 million of our common stock to Yorkville over a 36-month period at our discretion. Sales under the SEPA are based on our advance notices and may be for a number of shares up to 100% of the average daily trading volume of our common stock during the five trading days immediately prior to the date of each such notice, priced at 96% of the lowest daily VWAP of our common stock on the Nasdaq Capital Market during the three consecutive trading days commencing on the date of delivery each notice, subject to a minimum price floor set by us. As consideration for Yorkville’s commitment to purchase our common stock under the SEPA, we agreed to pay to Yorkville a commitment fee of $0.3 million, which was satisfied by the issuance to Yorkville of an aggregate of 213,099 shares of our common stock. We did not issue shares of our common stock to Yorkville under the SEPA.</w:t>
      </w:r>
    </w:p>
    <w:p>
      <w:pPr>
        <w:spacing w:after="0" w:line="86"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issuance of shares under both the PPA and SEPA was subject to a cap equal to 19.9% of our outstanding common stock as of July 29, 2025, unless stockholder approval is obtained or other specified conditions are met.</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On December 11, 2025, we terminated the PPA and SEPA.</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Advisory Agreements</w:t>
      </w:r>
    </w:p>
    <w:p>
      <w:pPr>
        <w:spacing w:after="0" w:line="11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We have entered into various arrangements with certain business advisors, consultants, and investment institutions to assist us with fundraising and to provide certain advisory services. In connection with these arrangements, we may be required to pay such business advisors, consultants, and investment institutions certain contingent fees related to their services to the extent that certain conditions are met, such as a successful fundraising. There are no contingent fees payable under these arrangements as of December 31, 2025.</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20" w:right="1440" w:bottom="177" w:gutter="0" w:footer="0" w:header="0"/>
        </w:sectPr>
      </w:pPr>
    </w:p>
    <w:bookmarkStart w:id="88" w:name="page89"/>
    <w:bookmarkEnd w:id="88"/>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Sales Agreement with H.C. Wainwright</w:t>
      </w:r>
    </w:p>
    <w:p>
      <w:pPr>
        <w:spacing w:after="0" w:line="117"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On May 15, 2025, we entered into an “at the market offering” agreement, or the Wainwright Sales Agreement, with H.C. Wainwright &amp; Co., LLC, or H.C. Wainwright, as agent and/or principal, pursuant to which we may offer and sell shares of our common stock having an aggregate offering price of up to $ 13.7 million from time to time through or to H.C. Wainwright by any method permitted that is deemed to be an “at the market” offering as defined in Rule 415(a)(4) promulgated under the Securities Act of 1933, as amended. As of December 31, 2025, we had issued and sold 999,967 shares of common stock pursuant to the Wainwright Sales Agreement for a net proceeds of $1.5 million.. In July 2025, in connection with the Yorkville Transactions, we reduced the aggregate offering price of the shares of common stock that could be offered and sold under the Wainwright Sales Agreement to $8.1 million.</w:t>
      </w:r>
    </w:p>
    <w:p>
      <w:pPr>
        <w:spacing w:after="0" w:line="67"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Prior to entering into the Wainwright Sales Agreement, in May 2025, we terminated the equity distribution agreement, dated July 26, 2024, or the Equity Distribution Agreement, with Citizens JMP Securities, LLC, or Citizens JMP, as agent and/or principal, under which we could offer and sell up to $50.0 million of shares of our common stock from time to time through or to Citizens JMP by any method that was deemed to be an “at the market” offering as defined in Rule 415(a)(4) under the Securities Act of 1933, as amended. Through May 2025, we issued and sold 317,772 shares of common stock pursuant to the Equity Distribution Agreement for total net proceeds of $0.7 million. We did not issue or sell any other shares of common stock pursuant to the Equity Distribution Agreement in 2025.</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April 2025 Warrant Transactions and Private Placement</w:t>
      </w:r>
    </w:p>
    <w:p>
      <w:pPr>
        <w:spacing w:after="0" w:line="117"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On April 21, 2025, we entered into privately negotiated letter agreements with certain holders of the PIPE Warrants (as defined below) and certain holders of the Offering Warrants (as defined below). Pursuant to these letter agreements, these holders agreed to exercise for cash the PIPE Warrants for the purchase of an aggregate of 159,500 shares of common stock and the Offering Warrants for the purchase of an aggregate of 890,138 shares of common stock at a reduced exercise price of $1.60 per share, or the Warrant Exercises. The total net proceeds for the Warrant Exercises were $1.6 million.</w:t>
      </w:r>
    </w:p>
    <w:p>
      <w:pPr>
        <w:spacing w:after="0" w:line="74"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On April 21, 2025, we entered into privately negotiated letter agreements with additional holders of the PIPE Warrants pursuant to which such holders surrendered PIPE Warrants exercisable for an aggregate of 1,939,000 shares of common stock for cancellation in exchange for pre-funded warrants (the “Exchange Pre-Funded Warrants”) to purchase the same number of shares at an exercise price of $0.001 per share (the “Warrant Exchanges”). In connection with these exchanges, the holders also made an aggregate cash payment of $1.599 per underlying share. The total net proceeds for the Warrant Exchanges were $3.0 million. In the Warrant Exchanges, entities affiliated with Bios Equity Partners, LP, or Bios Partners, surrendered the PIPE Warrants to purchase an aggregate of 1,300,500 shares common stock plus provided the associated cash consideration of $2.1 million for Exchange Pre-Funded Warrants.</w:t>
      </w:r>
    </w:p>
    <w:p>
      <w:pPr>
        <w:spacing w:after="0" w:line="66"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In addition, on April 21, 2025, an entity affiliated with Bios Partners, or the Bios Purchaser, purchased additional pre-funded warrants to purchase 312,695 shares of the common stock in a private placement, or the Placement Pre-Funded Warrants, pursuant to a subscription agreement at a price of $1.599 per share underlying the Placement Pre-Funded Warrants, or the Private Placement. The Private Placement closed on April 24, 2025. The total net proceeds for the Private Placement were $0.5 million. We refer to the Warrant Exercises, the Warrant Exchanges and the Private Placement as the April 2025 Transactions.</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Master Services Agreement</w:t>
      </w:r>
    </w:p>
    <w:p>
      <w:pPr>
        <w:spacing w:after="0" w:line="11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April 2025, we entered into a master services agreement with a third party Contract Research Organization, or CRO, under which the CRO has agreed to perform certain services in accordance with written work orders. The work orders set forth the obligations of the parties with regard to conducting the clinical research study entitled “A Randomized, Double-Blind, Placebo-Controlled, Phase 2, Safety, Tolerability and Efficacy Study of Caveolin1-Scaffolding-Protein -Derived Peptide (LTI-03) in Patients with IPF”, under our Protocol LTI-03-2001. Pursuant to the agreement, we had contracted for up to $17.0 million of master services. In August 2025, this master services agreement was terminated with no future commitment for the Company.</w:t>
      </w:r>
    </w:p>
    <w:p>
      <w:pPr>
        <w:spacing w:after="0" w:line="80"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19"/>
          <w:szCs w:val="19"/>
          <w:color w:val="auto"/>
        </w:rPr>
        <w:t>In December 2025, we entered into a project addendum with a third party CRO for the purposes of setting forth the responsibilities and obligations of the parties in regards to conducting a certain clinical research program entitled “A Phase 2, Randomized, Double-Blind, Placebo-Controlled Study of the Safety, Tolerability and Efficacy of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20" w:right="1440" w:bottom="177" w:gutter="0" w:footer="0" w:header="0"/>
        </w:sectPr>
      </w:pPr>
    </w:p>
    <w:bookmarkStart w:id="89" w:name="page90"/>
    <w:bookmarkEnd w:id="89"/>
    <w:p>
      <w:pPr>
        <w:jc w:val="both"/>
        <w:spacing w:after="0" w:line="279" w:lineRule="auto"/>
        <w:rPr>
          <w:sz w:val="20"/>
          <w:szCs w:val="20"/>
          <w:color w:val="auto"/>
        </w:rPr>
      </w:pPr>
      <w:r>
        <w:rPr>
          <w:rFonts w:ascii="Times New Roman" w:cs="Times New Roman" w:eastAsia="Times New Roman" w:hAnsi="Times New Roman"/>
          <w:sz w:val="20"/>
          <w:szCs w:val="20"/>
          <w:color w:val="auto"/>
        </w:rPr>
        <w:t>Caveolin-1-Scaffolding-Protein-Derived Peptide in Patients with IPF” under our Protocol LTI-03-2001. Pursuant to the project addendum, we had contracted for up to $19.8 million of master services.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Follow-on public offering</w:t>
      </w:r>
    </w:p>
    <w:p>
      <w:pPr>
        <w:spacing w:after="0" w:line="11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In May 2024, we completed an underwritten follow-on public offering, or the Offering, pursuant to which we issued and sold 4,273,505 shares of our common stock, or the Offering Shares, and accompanying warrants, or the Offering Warrants, to purchase 4,273,505 shares of common stock, or the Offering Warrant Shares. We sold all of the Offering Shares and Offering Warrants. Each Offering Share was offered and sold together with an accompanying Offering Warrant at a combined public offering price of $4.68, and the underwriter purchased each Offering Share with an accompanying Offering Warrant at a combined price, after underwriting discounts, of $4.35. Net proceeds from the Offering were $17.7 million, after deducting underwriting discounts and commissions and offering expenses, and excluding any proceeds that may be received from exercise of the Offering Warrants. As of December 31, 2025, Offering Warrants to purchase 3,388,707 shares of common stock remained outstanding.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Rein’s Results of Operations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8"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We have not generated any revenue from product sales and we do not expect to generate any revenue from the sale of products in the foreseeable future.</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8"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Our expenses since inception have consisted solely of research and development costs, general and administrative, and restructuring costs.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6"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For the periods presented in this Annual Report on Form 10-K, research and development expenses consist primarily of costs incurred for our research activities, including our discovery efforts, and the development of our product candidates, and include:</w:t>
      </w:r>
    </w:p>
    <w:p>
      <w:pPr>
        <w:spacing w:after="0" w:line="80"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salaries, benefits and other related costs, including stock-based compensation expense, for personnel engaged in research and development functions;</w:t>
      </w:r>
    </w:p>
    <w:p>
      <w:pPr>
        <w:spacing w:after="0" w:line="5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expenses incurred in connection with the clinical development of our product candidates, including under agreements with third parties, such as consultants and CROs;</w:t>
      </w:r>
    </w:p>
    <w:p>
      <w:pPr>
        <w:spacing w:after="0" w:line="5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the cost of manufacturing product candidates for use in our clinical trials and preclinical studies, including under agreements with third parties, such as consultants and contract manufacturing organizations, or CMOs;</w:t>
      </w:r>
    </w:p>
    <w:p>
      <w:pPr>
        <w:spacing w:after="0" w:line="7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expenses incurred in connection with the preclinical development of our product candidates, including outsourced professional scientific development services, consulting research fees and payments made under sponsored research arrangements with third parties;</w:t>
      </w:r>
    </w:p>
    <w:p>
      <w:pPr>
        <w:spacing w:after="0" w:line="79"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costs of laboratory supplies and acquiring, developing and manufacturing preclinical study and clinical trial materials;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third-party license fees;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costs related to compliance with regulatory requirements; and</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facility-related expenses, which included direct depreciation costs and allocated expenses for rent and maintenance of facilities and other operating costs.</w:t>
      </w:r>
    </w:p>
    <w:p>
      <w:pPr>
        <w:spacing w:after="0" w:line="44"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19"/>
          <w:szCs w:val="19"/>
          <w:color w:val="auto"/>
        </w:rPr>
        <w:t>We expense research and development costs as incurred. We recognize costs for certain development activities, such as clinical trials, based on an evaluation of the progress to completion of specific tasks using data such as patient enrollment, clinical site activations or information provided to us by our vendors and our clinical investigative sites.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18" w:right="1440" w:bottom="177" w:gutter="0" w:footer="0" w:header="0"/>
        </w:sectPr>
      </w:pPr>
    </w:p>
    <w:bookmarkStart w:id="90" w:name="page91"/>
    <w:bookmarkEnd w:id="90"/>
    <w:p>
      <w:pPr>
        <w:jc w:val="both"/>
        <w:spacing w:after="0" w:line="259" w:lineRule="auto"/>
        <w:rPr>
          <w:sz w:val="20"/>
          <w:szCs w:val="20"/>
          <w:color w:val="auto"/>
        </w:rPr>
      </w:pPr>
      <w:r>
        <w:rPr>
          <w:rFonts w:ascii="Times New Roman" w:cs="Times New Roman" w:eastAsia="Times New Roman" w:hAnsi="Times New Roman"/>
          <w:sz w:val="20"/>
          <w:szCs w:val="20"/>
          <w:color w:val="auto"/>
        </w:rPr>
        <w:t>Payments for these activities are based on the terms of the individual agreements, which may differ from the pattern of costs incurred, and are reflected in our financial statements as prepaid or accrued research and development expenses.</w:t>
      </w:r>
    </w:p>
    <w:p>
      <w:pPr>
        <w:spacing w:after="0" w:line="65"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In addition, we typically use our employee and infrastructure resources across our development programs. We track outsourced development costs and milestone payments made under our licensing arrangements by product candidate or development program, but we do not allocate personnel costs, license payments made under our licensing arrangements or other internal costs to specific development programs or product candidates because these costs are deployed across multiple programs and, as such, are not separately classified.</w:t>
      </w:r>
    </w:p>
    <w:p>
      <w:pPr>
        <w:spacing w:after="0" w:line="77"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Research and development activities are central to our business model. The duration, costs and timing of clinical trials and development of a product candidate will depend on a variety of factors, including:</w:t>
      </w:r>
    </w:p>
    <w:p>
      <w:pPr>
        <w:spacing w:after="0" w:line="5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the scope, rate of progress, expense and results of clinical trials of the product candidates that we are developing and other research and development activities that we have conducted;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uncertainties in clinical trial design and patient enrollment rates;</w:t>
      </w:r>
    </w:p>
    <w:p>
      <w:pPr>
        <w:spacing w:after="0" w:line="134" w:lineRule="exact"/>
        <w:rPr>
          <w:sz w:val="20"/>
          <w:szCs w:val="20"/>
          <w:color w:val="auto"/>
        </w:rPr>
      </w:pPr>
    </w:p>
    <w:p>
      <w:pPr>
        <w:ind w:left="980" w:right="2500"/>
        <w:spacing w:after="0" w:line="380" w:lineRule="auto"/>
        <w:rPr>
          <w:sz w:val="20"/>
          <w:szCs w:val="20"/>
          <w:color w:val="auto"/>
        </w:rPr>
      </w:pPr>
      <w:r>
        <w:rPr>
          <w:rFonts w:ascii="Times New Roman" w:cs="Times New Roman" w:eastAsia="Times New Roman" w:hAnsi="Times New Roman"/>
          <w:sz w:val="20"/>
          <w:szCs w:val="20"/>
          <w:color w:val="auto"/>
        </w:rPr>
        <w:t>significant and changing government regulation and regulatory guidance; the timing and receipt of any marketing approvals; and</w:t>
      </w:r>
    </w:p>
    <w:p>
      <w:pPr>
        <w:ind w:left="980"/>
        <w:spacing w:after="0" w:line="280" w:lineRule="auto"/>
        <w:rPr>
          <w:sz w:val="20"/>
          <w:szCs w:val="20"/>
          <w:color w:val="auto"/>
        </w:rPr>
      </w:pPr>
      <w:r>
        <w:rPr>
          <w:rFonts w:ascii="Times New Roman" w:cs="Times New Roman" w:eastAsia="Times New Roman" w:hAnsi="Times New Roman"/>
          <w:sz w:val="20"/>
          <w:szCs w:val="20"/>
          <w:color w:val="auto"/>
        </w:rPr>
        <w:t>the expense of filing, prosecuting, defending and enforcing any patent claims and other intellectual property rights.</w:t>
      </w:r>
    </w:p>
    <w:p>
      <w:pPr>
        <w:spacing w:after="0" w:line="4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anticipated would be required for the completion of clinical development of a product candidate, or if we experience significant trial delays due to patient enrollment or other reasons, we could be required to expend significant additional financial resources and time on the completion of clinical development.</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other related costs, including stock-based compensation, for personnel in our executive, finance and corporate and administrative functions. General and administrative expenses are comprised of professional fees associated with being a public company including costs of accounting, auditing, legal, regulatory, tax and consulting services associated with maintaining compliance with exchange listing and the SEC requirements, director and officer insurance costs; and both public and investor relations costs. General and administrative expenses also include legal fees relating to patent and corporate matters; legal and other professional fees relating to our strategic process; other insurance costs; travel expenses; and facility-related expenses, which include direct depreciation costs and allocated expenses for rent and maintenance of facilities and other operating costs.</w:t>
      </w: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Impairment Loss on Intangible Assets</w:t>
      </w:r>
    </w:p>
    <w:p>
      <w:pPr>
        <w:spacing w:after="0" w:line="236"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Impairment loss on intangible assets was identified in the fourth quarter of 2025 and 2024 when the carrying value of LTI-01 and other intangible assets which are early-stage programs exceeded their fair value as of December 31, 2025 and 2024, respectively.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Interest and Other Income</w:t>
      </w:r>
    </w:p>
    <w:p>
      <w:pPr>
        <w:spacing w:after="0" w:line="11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Interest income consists of interest income earned on our cash and cash equivalents. Historically, our interest income had not been significant due to low investment balances and low interest earned on those balances. We anticipate that our interest income will fluctuate in the future in response to our cash and cash equivalents and the interest rate environment.</w:t>
      </w:r>
    </w:p>
    <w:p>
      <w:pPr>
        <w:spacing w:after="0" w:line="69" w:lineRule="exact"/>
        <w:rPr>
          <w:sz w:val="20"/>
          <w:szCs w:val="20"/>
          <w:color w:val="auto"/>
        </w:rPr>
      </w:pPr>
    </w:p>
    <w:p>
      <w:pPr>
        <w:jc w:val="both"/>
        <w:ind w:firstLine="490"/>
        <w:spacing w:after="0" w:line="307" w:lineRule="auto"/>
        <w:rPr>
          <w:sz w:val="20"/>
          <w:szCs w:val="20"/>
          <w:color w:val="auto"/>
        </w:rPr>
      </w:pPr>
      <w:r>
        <w:rPr>
          <w:rFonts w:ascii="Times New Roman" w:cs="Times New Roman" w:eastAsia="Times New Roman" w:hAnsi="Times New Roman"/>
          <w:sz w:val="19"/>
          <w:szCs w:val="19"/>
          <w:color w:val="auto"/>
        </w:rPr>
        <w:t>Other income, net consists of the income recognized under the Option Agreement with Advancium, gains or losses recognized from non-routine items such as accretion on short-term investments, and gains or losses recognized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418" w:right="1440" w:bottom="177" w:gutter="0" w:footer="0" w:header="0"/>
        </w:sectPr>
      </w:pPr>
    </w:p>
    <w:bookmarkStart w:id="91" w:name="page92"/>
    <w:bookmarkEnd w:id="91"/>
    <w:p>
      <w:pPr>
        <w:jc w:val="both"/>
        <w:spacing w:after="0" w:line="279" w:lineRule="auto"/>
        <w:rPr>
          <w:sz w:val="20"/>
          <w:szCs w:val="20"/>
          <w:color w:val="auto"/>
        </w:rPr>
      </w:pPr>
      <w:r>
        <w:rPr>
          <w:rFonts w:ascii="Times New Roman" w:cs="Times New Roman" w:eastAsia="Times New Roman" w:hAnsi="Times New Roman"/>
          <w:sz w:val="20"/>
          <w:szCs w:val="20"/>
          <w:color w:val="auto"/>
        </w:rPr>
        <w:t>from foreign currency transactions, original issue discount, or OID, related to the PPA, the promissory notes, and the disposal of fixed assets.</w:t>
      </w:r>
    </w:p>
    <w:p>
      <w:pPr>
        <w:spacing w:after="0" w:line="45"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We anticipate that our interest income and investment accretion will fluctuate in the future in response to our then-current cash and cash equivalents, and then-current interest rates.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238"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tables summarize our results of operations for the years ended December 31, 2025 and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5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420" w:type="dxa"/>
            <w:vAlign w:val="bottom"/>
            <w:gridSpan w:val="7"/>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9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188"/>
        </w:trPr>
        <w:tc>
          <w:tcPr>
            <w:tcW w:w="535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 w:type="dxa"/>
            <w:vAlign w:val="bottom"/>
            <w:tcBorders>
              <w:top w:val="single" w:sz="8" w:color="auto"/>
            </w:tcBorders>
          </w:tcPr>
          <w:p>
            <w:pPr>
              <w:spacing w:after="0"/>
              <w:rPr>
                <w:sz w:val="16"/>
                <w:szCs w:val="16"/>
                <w:color w:val="auto"/>
              </w:rPr>
            </w:pPr>
          </w:p>
        </w:tc>
        <w:tc>
          <w:tcPr>
            <w:tcW w:w="1010" w:type="dxa"/>
            <w:vAlign w:val="bottom"/>
            <w:tcBorders>
              <w:top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90" w:type="dxa"/>
            <w:vAlign w:val="bottom"/>
            <w:gridSpan w:val="2"/>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w w:val="99"/>
              </w:rPr>
              <w:t>(Decrease)</w:t>
            </w:r>
          </w:p>
        </w:tc>
      </w:tr>
      <w:tr>
        <w:trPr>
          <w:trHeight w:val="224"/>
        </w:trPr>
        <w:tc>
          <w:tcPr>
            <w:tcW w:w="5350" w:type="dxa"/>
            <w:vAlign w:val="bottom"/>
            <w:tcBorders>
              <w:top w:val="single" w:sz="8" w:color="E7E7E7"/>
            </w:tcBorders>
            <w:shd w:val="clear" w:color="auto" w:fill="E7E7E7"/>
          </w:tcPr>
          <w:p>
            <w:pPr>
              <w:spacing w:after="0" w:line="224" w:lineRule="exact"/>
              <w:rPr>
                <w:sz w:val="20"/>
                <w:szCs w:val="20"/>
                <w:color w:val="auto"/>
              </w:rPr>
            </w:pPr>
            <w:r>
              <w:rPr>
                <w:rFonts w:ascii="Times New Roman" w:cs="Times New Roman" w:eastAsia="Times New Roman" w:hAnsi="Times New Roman"/>
                <w:sz w:val="20"/>
                <w:szCs w:val="20"/>
                <w:color w:val="auto"/>
              </w:rPr>
              <w:t>Operating expenses:</w:t>
            </w:r>
          </w:p>
        </w:tc>
        <w:tc>
          <w:tcPr>
            <w:tcW w:w="130" w:type="dxa"/>
            <w:vAlign w:val="bottom"/>
            <w:tcBorders>
              <w:top w:val="single" w:sz="8" w:color="E7E7E7"/>
            </w:tcBorders>
            <w:shd w:val="clear" w:color="auto" w:fill="E7E7E7"/>
          </w:tcPr>
          <w:p>
            <w:pPr>
              <w:spacing w:after="0"/>
              <w:rPr>
                <w:sz w:val="19"/>
                <w:szCs w:val="19"/>
                <w:color w:val="auto"/>
              </w:rPr>
            </w:pPr>
          </w:p>
        </w:tc>
        <w:tc>
          <w:tcPr>
            <w:tcW w:w="20" w:type="dxa"/>
            <w:vAlign w:val="bottom"/>
            <w:tcBorders>
              <w:top w:val="single" w:sz="8" w:color="E7E7E7"/>
            </w:tcBorders>
            <w:shd w:val="clear" w:color="auto" w:fill="E7E7E7"/>
          </w:tcPr>
          <w:p>
            <w:pPr>
              <w:spacing w:after="0"/>
              <w:rPr>
                <w:sz w:val="19"/>
                <w:szCs w:val="19"/>
                <w:color w:val="auto"/>
              </w:rPr>
            </w:pPr>
          </w:p>
        </w:tc>
        <w:tc>
          <w:tcPr>
            <w:tcW w:w="90" w:type="dxa"/>
            <w:vAlign w:val="bottom"/>
            <w:tcBorders>
              <w:top w:val="single" w:sz="8" w:color="auto"/>
            </w:tcBorders>
            <w:shd w:val="clear" w:color="auto" w:fill="E7E7E7"/>
          </w:tcPr>
          <w:p>
            <w:pPr>
              <w:spacing w:after="0"/>
              <w:rPr>
                <w:sz w:val="19"/>
                <w:szCs w:val="19"/>
                <w:color w:val="auto"/>
              </w:rPr>
            </w:pPr>
          </w:p>
        </w:tc>
        <w:tc>
          <w:tcPr>
            <w:tcW w:w="1010" w:type="dxa"/>
            <w:vAlign w:val="bottom"/>
            <w:tcBorders>
              <w:top w:val="single" w:sz="8" w:color="auto"/>
            </w:tcBorders>
            <w:shd w:val="clear" w:color="auto" w:fill="E7E7E7"/>
          </w:tcPr>
          <w:p>
            <w:pPr>
              <w:spacing w:after="0"/>
              <w:rPr>
                <w:sz w:val="19"/>
                <w:szCs w:val="19"/>
                <w:color w:val="auto"/>
              </w:rPr>
            </w:pPr>
          </w:p>
        </w:tc>
        <w:tc>
          <w:tcPr>
            <w:tcW w:w="80" w:type="dxa"/>
            <w:vAlign w:val="bottom"/>
            <w:tcBorders>
              <w:top w:val="single" w:sz="8" w:color="E7E7E7"/>
            </w:tcBorders>
            <w:shd w:val="clear" w:color="auto" w:fill="E7E7E7"/>
          </w:tcPr>
          <w:p>
            <w:pPr>
              <w:spacing w:after="0"/>
              <w:rPr>
                <w:sz w:val="19"/>
                <w:szCs w:val="19"/>
                <w:color w:val="auto"/>
              </w:rPr>
            </w:pPr>
          </w:p>
        </w:tc>
        <w:tc>
          <w:tcPr>
            <w:tcW w:w="120" w:type="dxa"/>
            <w:vAlign w:val="bottom"/>
            <w:tcBorders>
              <w:top w:val="single" w:sz="8" w:color="E7E7E7"/>
            </w:tcBorders>
            <w:shd w:val="clear" w:color="auto" w:fill="E7E7E7"/>
          </w:tcPr>
          <w:p>
            <w:pPr>
              <w:spacing w:after="0"/>
              <w:rPr>
                <w:sz w:val="19"/>
                <w:szCs w:val="19"/>
                <w:color w:val="auto"/>
              </w:rPr>
            </w:pPr>
          </w:p>
        </w:tc>
        <w:tc>
          <w:tcPr>
            <w:tcW w:w="20" w:type="dxa"/>
            <w:vAlign w:val="bottom"/>
            <w:tcBorders>
              <w:top w:val="single" w:sz="8" w:color="E7E7E7"/>
            </w:tcBorders>
            <w:shd w:val="clear" w:color="auto" w:fill="E7E7E7"/>
          </w:tcPr>
          <w:p>
            <w:pPr>
              <w:spacing w:after="0"/>
              <w:rPr>
                <w:sz w:val="19"/>
                <w:szCs w:val="19"/>
                <w:color w:val="auto"/>
              </w:rPr>
            </w:pPr>
          </w:p>
        </w:tc>
        <w:tc>
          <w:tcPr>
            <w:tcW w:w="100" w:type="dxa"/>
            <w:vAlign w:val="bottom"/>
            <w:tcBorders>
              <w:top w:val="single" w:sz="8" w:color="auto"/>
            </w:tcBorders>
            <w:shd w:val="clear" w:color="auto" w:fill="E7E7E7"/>
          </w:tcPr>
          <w:p>
            <w:pPr>
              <w:spacing w:after="0"/>
              <w:rPr>
                <w:sz w:val="19"/>
                <w:szCs w:val="19"/>
                <w:color w:val="auto"/>
              </w:rPr>
            </w:pPr>
          </w:p>
        </w:tc>
        <w:tc>
          <w:tcPr>
            <w:tcW w:w="1020" w:type="dxa"/>
            <w:vAlign w:val="bottom"/>
            <w:tcBorders>
              <w:top w:val="single" w:sz="8" w:color="auto"/>
            </w:tcBorders>
            <w:shd w:val="clear" w:color="auto" w:fill="E7E7E7"/>
          </w:tcPr>
          <w:p>
            <w:pPr>
              <w:spacing w:after="0"/>
              <w:rPr>
                <w:sz w:val="19"/>
                <w:szCs w:val="19"/>
                <w:color w:val="auto"/>
              </w:rPr>
            </w:pPr>
          </w:p>
        </w:tc>
        <w:tc>
          <w:tcPr>
            <w:tcW w:w="70" w:type="dxa"/>
            <w:vAlign w:val="bottom"/>
            <w:tcBorders>
              <w:top w:val="single" w:sz="8" w:color="E7E7E7"/>
            </w:tcBorders>
            <w:shd w:val="clear" w:color="auto" w:fill="E7E7E7"/>
          </w:tcPr>
          <w:p>
            <w:pPr>
              <w:spacing w:after="0"/>
              <w:rPr>
                <w:sz w:val="19"/>
                <w:szCs w:val="19"/>
                <w:color w:val="auto"/>
              </w:rPr>
            </w:pPr>
          </w:p>
        </w:tc>
        <w:tc>
          <w:tcPr>
            <w:tcW w:w="130" w:type="dxa"/>
            <w:vAlign w:val="bottom"/>
            <w:tcBorders>
              <w:top w:val="single" w:sz="8" w:color="E7E7E7"/>
            </w:tcBorders>
            <w:shd w:val="clear" w:color="auto" w:fill="E7E7E7"/>
          </w:tcPr>
          <w:p>
            <w:pPr>
              <w:spacing w:after="0"/>
              <w:rPr>
                <w:sz w:val="19"/>
                <w:szCs w:val="19"/>
                <w:color w:val="auto"/>
              </w:rPr>
            </w:pPr>
          </w:p>
        </w:tc>
        <w:tc>
          <w:tcPr>
            <w:tcW w:w="20" w:type="dxa"/>
            <w:vAlign w:val="bottom"/>
            <w:tcBorders>
              <w:top w:val="single" w:sz="8" w:color="E7E7E7"/>
            </w:tcBorders>
            <w:shd w:val="clear" w:color="auto" w:fill="E7E7E7"/>
          </w:tcPr>
          <w:p>
            <w:pPr>
              <w:spacing w:after="0"/>
              <w:rPr>
                <w:sz w:val="19"/>
                <w:szCs w:val="19"/>
                <w:color w:val="auto"/>
              </w:rPr>
            </w:pPr>
          </w:p>
        </w:tc>
        <w:tc>
          <w:tcPr>
            <w:tcW w:w="110" w:type="dxa"/>
            <w:vAlign w:val="bottom"/>
            <w:tcBorders>
              <w:top w:val="single" w:sz="8" w:color="auto"/>
            </w:tcBorders>
            <w:shd w:val="clear" w:color="auto" w:fill="E7E7E7"/>
          </w:tcPr>
          <w:p>
            <w:pPr>
              <w:spacing w:after="0"/>
              <w:rPr>
                <w:sz w:val="19"/>
                <w:szCs w:val="19"/>
                <w:color w:val="auto"/>
              </w:rPr>
            </w:pPr>
          </w:p>
        </w:tc>
        <w:tc>
          <w:tcPr>
            <w:tcW w:w="1010" w:type="dxa"/>
            <w:vAlign w:val="bottom"/>
            <w:tcBorders>
              <w:top w:val="single" w:sz="8" w:color="auto"/>
            </w:tcBorders>
            <w:shd w:val="clear" w:color="auto" w:fill="E7E7E7"/>
          </w:tcPr>
          <w:p>
            <w:pPr>
              <w:spacing w:after="0"/>
              <w:rPr>
                <w:sz w:val="19"/>
                <w:szCs w:val="19"/>
                <w:color w:val="auto"/>
              </w:rPr>
            </w:pPr>
          </w:p>
        </w:tc>
        <w:tc>
          <w:tcPr>
            <w:tcW w:w="80" w:type="dxa"/>
            <w:vAlign w:val="bottom"/>
            <w:tcBorders>
              <w:top w:val="single" w:sz="8" w:color="E7E7E7"/>
            </w:tcBorders>
            <w:shd w:val="clear" w:color="auto" w:fill="E7E7E7"/>
          </w:tcPr>
          <w:p>
            <w:pPr>
              <w:spacing w:after="0"/>
              <w:rPr>
                <w:sz w:val="19"/>
                <w:szCs w:val="19"/>
                <w:color w:val="auto"/>
              </w:rPr>
            </w:pPr>
          </w:p>
        </w:tc>
      </w:tr>
      <w:tr>
        <w:trPr>
          <w:trHeight w:val="244"/>
        </w:trPr>
        <w:tc>
          <w:tcPr>
            <w:tcW w:w="5500" w:type="dxa"/>
            <w:vAlign w:val="bottom"/>
            <w:tcBorders>
              <w:bottom w:val="single" w:sz="8" w:color="E7E7E7"/>
            </w:tcBorders>
            <w:gridSpan w:val="3"/>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90" w:type="dxa"/>
            <w:vAlign w:val="bottom"/>
            <w:tcBorders>
              <w:bottom w:val="single" w:sz="8" w:color="E7E7E7"/>
            </w:tcBorders>
          </w:tcPr>
          <w:p>
            <w:pPr>
              <w:spacing w:after="0"/>
              <w:rPr>
                <w:sz w:val="21"/>
                <w:szCs w:val="21"/>
                <w:color w:val="auto"/>
              </w:rPr>
            </w:pPr>
          </w:p>
        </w:tc>
        <w:tc>
          <w:tcPr>
            <w:tcW w:w="101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11,029</w:t>
            </w:r>
          </w:p>
        </w:tc>
        <w:tc>
          <w:tcPr>
            <w:tcW w:w="80" w:type="dxa"/>
            <w:vAlign w:val="bottom"/>
            <w:tcBorders>
              <w:bottom w:val="single" w:sz="8" w:color="E7E7E7"/>
            </w:tcBorders>
          </w:tcPr>
          <w:p>
            <w:pPr>
              <w:spacing w:after="0"/>
              <w:rPr>
                <w:sz w:val="21"/>
                <w:szCs w:val="21"/>
                <w:color w:val="auto"/>
              </w:rPr>
            </w:pPr>
          </w:p>
        </w:tc>
        <w:tc>
          <w:tcPr>
            <w:tcW w:w="12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10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14,248</w:t>
            </w:r>
          </w:p>
        </w:tc>
        <w:tc>
          <w:tcPr>
            <w:tcW w:w="70" w:type="dxa"/>
            <w:vAlign w:val="bottom"/>
            <w:tcBorders>
              <w:bottom w:val="single" w:sz="8" w:color="E7E7E7"/>
            </w:tcBorders>
          </w:tcPr>
          <w:p>
            <w:pPr>
              <w:spacing w:after="0"/>
              <w:rPr>
                <w:sz w:val="21"/>
                <w:szCs w:val="21"/>
                <w:color w:val="auto"/>
              </w:rPr>
            </w:pPr>
          </w:p>
        </w:tc>
        <w:tc>
          <w:tcPr>
            <w:tcW w:w="13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10" w:type="dxa"/>
            <w:vAlign w:val="bottom"/>
            <w:tcBorders>
              <w:bottom w:val="single" w:sz="8" w:color="E7E7E7"/>
            </w:tcBorders>
          </w:tcPr>
          <w:p>
            <w:pPr>
              <w:spacing w:after="0"/>
              <w:rPr>
                <w:sz w:val="21"/>
                <w:szCs w:val="21"/>
                <w:color w:val="auto"/>
              </w:rPr>
            </w:pPr>
          </w:p>
        </w:tc>
        <w:tc>
          <w:tcPr>
            <w:tcW w:w="1090" w:type="dxa"/>
            <w:vAlign w:val="bottom"/>
            <w:tcBorders>
              <w:bottom w:val="single" w:sz="8" w:color="E7E7E7"/>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(3,219 )</w:t>
            </w:r>
          </w:p>
        </w:tc>
      </w:tr>
      <w:tr>
        <w:trPr>
          <w:trHeight w:val="225"/>
        </w:trPr>
        <w:tc>
          <w:tcPr>
            <w:tcW w:w="5350" w:type="dxa"/>
            <w:vAlign w:val="bottom"/>
            <w:shd w:val="clear" w:color="auto" w:fill="E7E7E7"/>
          </w:tcPr>
          <w:p>
            <w:pPr>
              <w:ind w:left="200"/>
              <w:spacing w:after="0" w:line="225" w:lineRule="exact"/>
              <w:rPr>
                <w:sz w:val="20"/>
                <w:szCs w:val="20"/>
                <w:color w:val="auto"/>
              </w:rPr>
            </w:pPr>
            <w:r>
              <w:rPr>
                <w:rFonts w:ascii="Times New Roman" w:cs="Times New Roman" w:eastAsia="Times New Roman" w:hAnsi="Times New Roman"/>
                <w:sz w:val="20"/>
                <w:szCs w:val="20"/>
                <w:color w:val="auto"/>
              </w:rPr>
              <w:t>General and administrative</w:t>
            </w:r>
          </w:p>
        </w:tc>
        <w:tc>
          <w:tcPr>
            <w:tcW w:w="13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101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10,902</w:t>
            </w:r>
          </w:p>
        </w:tc>
        <w:tc>
          <w:tcPr>
            <w:tcW w:w="8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02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13,864</w:t>
            </w:r>
          </w:p>
        </w:tc>
        <w:tc>
          <w:tcPr>
            <w:tcW w:w="70" w:type="dxa"/>
            <w:vAlign w:val="bottom"/>
            <w:shd w:val="clear" w:color="auto" w:fill="E7E7E7"/>
          </w:tcPr>
          <w:p>
            <w:pPr>
              <w:spacing w:after="0"/>
              <w:rPr>
                <w:sz w:val="19"/>
                <w:szCs w:val="19"/>
                <w:color w:val="auto"/>
              </w:rPr>
            </w:pPr>
          </w:p>
        </w:tc>
        <w:tc>
          <w:tcPr>
            <w:tcW w:w="13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10" w:type="dxa"/>
            <w:vAlign w:val="bottom"/>
            <w:shd w:val="clear" w:color="auto" w:fill="E7E7E7"/>
          </w:tcPr>
          <w:p>
            <w:pPr>
              <w:spacing w:after="0"/>
              <w:rPr>
                <w:sz w:val="19"/>
                <w:szCs w:val="19"/>
                <w:color w:val="auto"/>
              </w:rPr>
            </w:pPr>
          </w:p>
        </w:tc>
        <w:tc>
          <w:tcPr>
            <w:tcW w:w="101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(2,962</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64"/>
        </w:trPr>
        <w:tc>
          <w:tcPr>
            <w:tcW w:w="55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Impairment loss on intangible assets</w:t>
            </w:r>
          </w:p>
        </w:tc>
        <w:tc>
          <w:tcPr>
            <w:tcW w:w="90" w:type="dxa"/>
            <w:vAlign w:val="bottom"/>
          </w:tcPr>
          <w:p>
            <w:pPr>
              <w:spacing w:after="0"/>
              <w:rPr>
                <w:sz w:val="22"/>
                <w:szCs w:val="22"/>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37,000</w:t>
            </w:r>
          </w:p>
        </w:tc>
        <w:tc>
          <w:tcPr>
            <w:tcW w:w="7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(8,300 )</w:t>
            </w:r>
          </w:p>
        </w:tc>
      </w:tr>
      <w:tr>
        <w:trPr>
          <w:trHeight w:val="214"/>
        </w:trPr>
        <w:tc>
          <w:tcPr>
            <w:tcW w:w="5350" w:type="dxa"/>
            <w:vAlign w:val="bottom"/>
            <w:tcBorders>
              <w:top w:val="single" w:sz="8" w:color="E7E7E7"/>
            </w:tcBorders>
            <w:shd w:val="clear" w:color="auto" w:fill="E7E7E7"/>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operating expenses</w:t>
            </w: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90" w:type="dxa"/>
            <w:vAlign w:val="bottom"/>
            <w:tcBorders>
              <w:top w:val="single" w:sz="8" w:color="auto"/>
              <w:bottom w:val="single" w:sz="8" w:color="auto"/>
            </w:tcBorders>
            <w:shd w:val="clear" w:color="auto" w:fill="E7E7E7"/>
          </w:tcPr>
          <w:p>
            <w:pPr>
              <w:spacing w:after="0"/>
              <w:rPr>
                <w:sz w:val="18"/>
                <w:szCs w:val="18"/>
                <w:color w:val="auto"/>
              </w:rPr>
            </w:pPr>
          </w:p>
        </w:tc>
        <w:tc>
          <w:tcPr>
            <w:tcW w:w="1010" w:type="dxa"/>
            <w:vAlign w:val="bottom"/>
            <w:tcBorders>
              <w:top w:val="single" w:sz="8" w:color="auto"/>
              <w:bottom w:val="single" w:sz="8" w:color="auto"/>
            </w:tcBorders>
            <w:shd w:val="clear" w:color="auto" w:fill="E7E7E7"/>
          </w:tcPr>
          <w:p>
            <w:pPr>
              <w:jc w:val="right"/>
              <w:spacing w:after="0" w:line="214" w:lineRule="exact"/>
              <w:rPr>
                <w:sz w:val="20"/>
                <w:szCs w:val="20"/>
                <w:color w:val="auto"/>
              </w:rPr>
            </w:pPr>
            <w:r>
              <w:rPr>
                <w:rFonts w:ascii="Times New Roman" w:cs="Times New Roman" w:eastAsia="Times New Roman" w:hAnsi="Times New Roman"/>
                <w:sz w:val="20"/>
                <w:szCs w:val="20"/>
                <w:color w:val="auto"/>
              </w:rPr>
              <w:t>50,631</w:t>
            </w:r>
          </w:p>
        </w:tc>
        <w:tc>
          <w:tcPr>
            <w:tcW w:w="80" w:type="dxa"/>
            <w:vAlign w:val="bottom"/>
            <w:tcBorders>
              <w:top w:val="single" w:sz="8" w:color="E7E7E7"/>
            </w:tcBorders>
            <w:shd w:val="clear" w:color="auto" w:fill="E7E7E7"/>
          </w:tcPr>
          <w:p>
            <w:pPr>
              <w:spacing w:after="0"/>
              <w:rPr>
                <w:sz w:val="18"/>
                <w:szCs w:val="18"/>
                <w:color w:val="auto"/>
              </w:rPr>
            </w:pPr>
          </w:p>
        </w:tc>
        <w:tc>
          <w:tcPr>
            <w:tcW w:w="12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00" w:type="dxa"/>
            <w:vAlign w:val="bottom"/>
            <w:tcBorders>
              <w:top w:val="single" w:sz="8" w:color="auto"/>
              <w:bottom w:val="single" w:sz="8" w:color="auto"/>
            </w:tcBorders>
            <w:shd w:val="clear" w:color="auto" w:fill="E7E7E7"/>
          </w:tcPr>
          <w:p>
            <w:pPr>
              <w:spacing w:after="0"/>
              <w:rPr>
                <w:sz w:val="18"/>
                <w:szCs w:val="18"/>
                <w:color w:val="auto"/>
              </w:rPr>
            </w:pPr>
          </w:p>
        </w:tc>
        <w:tc>
          <w:tcPr>
            <w:tcW w:w="1020" w:type="dxa"/>
            <w:vAlign w:val="bottom"/>
            <w:tcBorders>
              <w:top w:val="single" w:sz="8" w:color="auto"/>
              <w:bottom w:val="single" w:sz="8" w:color="auto"/>
            </w:tcBorders>
            <w:shd w:val="clear" w:color="auto" w:fill="E7E7E7"/>
          </w:tcPr>
          <w:p>
            <w:pPr>
              <w:jc w:val="right"/>
              <w:spacing w:after="0" w:line="214" w:lineRule="exact"/>
              <w:rPr>
                <w:sz w:val="20"/>
                <w:szCs w:val="20"/>
                <w:color w:val="auto"/>
              </w:rPr>
            </w:pPr>
            <w:r>
              <w:rPr>
                <w:rFonts w:ascii="Times New Roman" w:cs="Times New Roman" w:eastAsia="Times New Roman" w:hAnsi="Times New Roman"/>
                <w:sz w:val="20"/>
                <w:szCs w:val="20"/>
                <w:color w:val="auto"/>
              </w:rPr>
              <w:t>65,112</w:t>
            </w:r>
          </w:p>
        </w:tc>
        <w:tc>
          <w:tcPr>
            <w:tcW w:w="70" w:type="dxa"/>
            <w:vAlign w:val="bottom"/>
            <w:tcBorders>
              <w:top w:val="single" w:sz="8" w:color="E7E7E7"/>
            </w:tcBorders>
            <w:shd w:val="clear" w:color="auto" w:fill="E7E7E7"/>
          </w:tcPr>
          <w:p>
            <w:pPr>
              <w:spacing w:after="0"/>
              <w:rPr>
                <w:sz w:val="18"/>
                <w:szCs w:val="18"/>
                <w:color w:val="auto"/>
              </w:rPr>
            </w:pP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10" w:type="dxa"/>
            <w:vAlign w:val="bottom"/>
            <w:tcBorders>
              <w:top w:val="single" w:sz="8" w:color="auto"/>
              <w:bottom w:val="single" w:sz="8" w:color="auto"/>
            </w:tcBorders>
            <w:shd w:val="clear" w:color="auto" w:fill="E7E7E7"/>
          </w:tcPr>
          <w:p>
            <w:pPr>
              <w:spacing w:after="0"/>
              <w:rPr>
                <w:sz w:val="18"/>
                <w:szCs w:val="18"/>
                <w:color w:val="auto"/>
              </w:rPr>
            </w:pPr>
          </w:p>
        </w:tc>
        <w:tc>
          <w:tcPr>
            <w:tcW w:w="1010" w:type="dxa"/>
            <w:vAlign w:val="bottom"/>
            <w:tcBorders>
              <w:top w:val="single" w:sz="8" w:color="auto"/>
              <w:bottom w:val="single" w:sz="8" w:color="auto"/>
            </w:tcBorders>
            <w:shd w:val="clear" w:color="auto" w:fill="E7E7E7"/>
          </w:tcPr>
          <w:p>
            <w:pPr>
              <w:jc w:val="right"/>
              <w:spacing w:after="0" w:line="214" w:lineRule="exact"/>
              <w:rPr>
                <w:sz w:val="20"/>
                <w:szCs w:val="20"/>
                <w:color w:val="auto"/>
              </w:rPr>
            </w:pPr>
            <w:r>
              <w:rPr>
                <w:rFonts w:ascii="Times New Roman" w:cs="Times New Roman" w:eastAsia="Times New Roman" w:hAnsi="Times New Roman"/>
                <w:sz w:val="20"/>
                <w:szCs w:val="20"/>
                <w:color w:val="auto"/>
              </w:rPr>
              <w:t>(14,481</w:t>
            </w:r>
          </w:p>
        </w:tc>
        <w:tc>
          <w:tcPr>
            <w:tcW w:w="8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33"/>
        </w:trPr>
        <w:tc>
          <w:tcPr>
            <w:tcW w:w="5500" w:type="dxa"/>
            <w:vAlign w:val="bottom"/>
            <w:tcBorders>
              <w:bottom w:val="single" w:sz="8" w:color="E7E7E7"/>
            </w:tcBorders>
            <w:gridSpan w:val="3"/>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90" w:type="dxa"/>
            <w:vAlign w:val="bottom"/>
            <w:tcBorders>
              <w:bottom w:val="single" w:sz="8" w:color="E7E7E7"/>
            </w:tcBorders>
          </w:tcPr>
          <w:p>
            <w:pPr>
              <w:spacing w:after="0"/>
              <w:rPr>
                <w:sz w:val="20"/>
                <w:szCs w:val="20"/>
                <w:color w:val="auto"/>
              </w:rPr>
            </w:pPr>
          </w:p>
        </w:tc>
        <w:tc>
          <w:tcPr>
            <w:tcW w:w="101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(50,631</w:t>
            </w: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100" w:type="dxa"/>
            <w:vAlign w:val="bottom"/>
            <w:tcBorders>
              <w:bottom w:val="single" w:sz="8" w:color="E7E7E7"/>
            </w:tcBorders>
          </w:tcPr>
          <w:p>
            <w:pPr>
              <w:spacing w:after="0"/>
              <w:rPr>
                <w:sz w:val="20"/>
                <w:szCs w:val="20"/>
                <w:color w:val="auto"/>
              </w:rPr>
            </w:pPr>
          </w:p>
        </w:tc>
        <w:tc>
          <w:tcPr>
            <w:tcW w:w="10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(65,112</w:t>
            </w:r>
          </w:p>
        </w:tc>
        <w:tc>
          <w:tcPr>
            <w:tcW w:w="7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110" w:type="dxa"/>
            <w:vAlign w:val="bottom"/>
            <w:tcBorders>
              <w:bottom w:val="single" w:sz="8" w:color="E7E7E7"/>
            </w:tcBorders>
          </w:tcPr>
          <w:p>
            <w:pPr>
              <w:spacing w:after="0"/>
              <w:rPr>
                <w:sz w:val="20"/>
                <w:szCs w:val="20"/>
                <w:color w:val="auto"/>
              </w:rPr>
            </w:pPr>
          </w:p>
        </w:tc>
        <w:tc>
          <w:tcPr>
            <w:tcW w:w="101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14,481</w:t>
            </w:r>
          </w:p>
        </w:tc>
        <w:tc>
          <w:tcPr>
            <w:tcW w:w="80" w:type="dxa"/>
            <w:vAlign w:val="bottom"/>
            <w:tcBorders>
              <w:bottom w:val="single" w:sz="8" w:color="E7E7E7"/>
            </w:tcBorders>
          </w:tcPr>
          <w:p>
            <w:pPr>
              <w:spacing w:after="0"/>
              <w:rPr>
                <w:sz w:val="20"/>
                <w:szCs w:val="20"/>
                <w:color w:val="auto"/>
              </w:rPr>
            </w:pPr>
          </w:p>
        </w:tc>
      </w:tr>
      <w:tr>
        <w:trPr>
          <w:trHeight w:val="225"/>
        </w:trPr>
        <w:tc>
          <w:tcPr>
            <w:tcW w:w="5350" w:type="dxa"/>
            <w:vAlign w:val="bottom"/>
            <w:shd w:val="clear" w:color="auto" w:fill="E7E7E7"/>
          </w:tcPr>
          <w:p>
            <w:pPr>
              <w:spacing w:after="0" w:line="225" w:lineRule="exact"/>
              <w:rPr>
                <w:sz w:val="20"/>
                <w:szCs w:val="20"/>
                <w:color w:val="auto"/>
              </w:rPr>
            </w:pPr>
            <w:r>
              <w:rPr>
                <w:rFonts w:ascii="Times New Roman" w:cs="Times New Roman" w:eastAsia="Times New Roman" w:hAnsi="Times New Roman"/>
                <w:sz w:val="20"/>
                <w:szCs w:val="20"/>
                <w:color w:val="auto"/>
              </w:rPr>
              <w:t>Other income, net</w:t>
            </w:r>
          </w:p>
        </w:tc>
        <w:tc>
          <w:tcPr>
            <w:tcW w:w="13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101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48</w:t>
            </w:r>
          </w:p>
        </w:tc>
        <w:tc>
          <w:tcPr>
            <w:tcW w:w="8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02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685</w:t>
            </w:r>
          </w:p>
        </w:tc>
        <w:tc>
          <w:tcPr>
            <w:tcW w:w="70" w:type="dxa"/>
            <w:vAlign w:val="bottom"/>
            <w:shd w:val="clear" w:color="auto" w:fill="E7E7E7"/>
          </w:tcPr>
          <w:p>
            <w:pPr>
              <w:spacing w:after="0"/>
              <w:rPr>
                <w:sz w:val="19"/>
                <w:szCs w:val="19"/>
                <w:color w:val="auto"/>
              </w:rPr>
            </w:pPr>
          </w:p>
        </w:tc>
        <w:tc>
          <w:tcPr>
            <w:tcW w:w="13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10" w:type="dxa"/>
            <w:vAlign w:val="bottom"/>
            <w:shd w:val="clear" w:color="auto" w:fill="E7E7E7"/>
          </w:tcPr>
          <w:p>
            <w:pPr>
              <w:spacing w:after="0"/>
              <w:rPr>
                <w:sz w:val="19"/>
                <w:szCs w:val="19"/>
                <w:color w:val="auto"/>
              </w:rPr>
            </w:pPr>
          </w:p>
        </w:tc>
        <w:tc>
          <w:tcPr>
            <w:tcW w:w="101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(637</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64"/>
        </w:trPr>
        <w:tc>
          <w:tcPr>
            <w:tcW w:w="5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90" w:type="dxa"/>
            <w:vAlign w:val="bottom"/>
          </w:tcPr>
          <w:p>
            <w:pPr>
              <w:spacing w:after="0"/>
              <w:rPr>
                <w:sz w:val="22"/>
                <w:szCs w:val="22"/>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7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(832 )</w:t>
            </w:r>
          </w:p>
        </w:tc>
      </w:tr>
      <w:tr>
        <w:trPr>
          <w:trHeight w:val="216"/>
        </w:trPr>
        <w:tc>
          <w:tcPr>
            <w:tcW w:w="5350" w:type="dxa"/>
            <w:vAlign w:val="bottom"/>
            <w:tcBorders>
              <w:top w:val="single" w:sz="8" w:color="E7E7E7"/>
            </w:tcBorders>
            <w:shd w:val="clear" w:color="auto" w:fill="E7E7E7"/>
          </w:tcPr>
          <w:p>
            <w:pPr>
              <w:spacing w:after="0" w:line="215" w:lineRule="exact"/>
              <w:rPr>
                <w:sz w:val="20"/>
                <w:szCs w:val="20"/>
                <w:color w:val="auto"/>
              </w:rPr>
            </w:pPr>
            <w:r>
              <w:rPr>
                <w:rFonts w:ascii="Times New Roman" w:cs="Times New Roman" w:eastAsia="Times New Roman" w:hAnsi="Times New Roman"/>
                <w:sz w:val="20"/>
                <w:szCs w:val="20"/>
                <w:color w:val="auto"/>
              </w:rPr>
              <w:t>Net loss</w:t>
            </w: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bottom w:val="single" w:sz="8" w:color="auto"/>
            </w:tcBorders>
            <w:shd w:val="clear" w:color="auto" w:fill="E7E7E7"/>
          </w:tcPr>
          <w:p>
            <w:pPr>
              <w:spacing w:after="0"/>
              <w:rPr>
                <w:sz w:val="18"/>
                <w:szCs w:val="18"/>
                <w:color w:val="auto"/>
              </w:rPr>
            </w:pPr>
          </w:p>
        </w:tc>
        <w:tc>
          <w:tcPr>
            <w:tcW w:w="90" w:type="dxa"/>
            <w:vAlign w:val="bottom"/>
            <w:tcBorders>
              <w:top w:val="single" w:sz="8" w:color="auto"/>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7E7E7"/>
              </w:rPr>
              <w:t>$</w:t>
            </w:r>
          </w:p>
        </w:tc>
        <w:tc>
          <w:tcPr>
            <w:tcW w:w="1010" w:type="dxa"/>
            <w:vAlign w:val="bottom"/>
            <w:tcBorders>
              <w:top w:val="single" w:sz="8" w:color="auto"/>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rPr>
              <w:t>(49,871</w:t>
            </w:r>
          </w:p>
        </w:tc>
        <w:tc>
          <w:tcPr>
            <w:tcW w:w="8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2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bottom w:val="single" w:sz="8" w:color="auto"/>
            </w:tcBorders>
            <w:shd w:val="clear" w:color="auto" w:fill="E7E7E7"/>
          </w:tcPr>
          <w:p>
            <w:pPr>
              <w:spacing w:after="0"/>
              <w:rPr>
                <w:sz w:val="18"/>
                <w:szCs w:val="18"/>
                <w:color w:val="auto"/>
              </w:rPr>
            </w:pPr>
          </w:p>
        </w:tc>
        <w:tc>
          <w:tcPr>
            <w:tcW w:w="100" w:type="dxa"/>
            <w:vAlign w:val="bottom"/>
            <w:tcBorders>
              <w:top w:val="single" w:sz="8" w:color="auto"/>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020" w:type="dxa"/>
            <w:vAlign w:val="bottom"/>
            <w:tcBorders>
              <w:top w:val="single" w:sz="8" w:color="auto"/>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rPr>
              <w:t>(62,883</w:t>
            </w:r>
          </w:p>
        </w:tc>
        <w:tc>
          <w:tcPr>
            <w:tcW w:w="7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bottom w:val="single" w:sz="8" w:color="auto"/>
            </w:tcBorders>
            <w:shd w:val="clear" w:color="auto" w:fill="E7E7E7"/>
          </w:tcPr>
          <w:p>
            <w:pPr>
              <w:spacing w:after="0"/>
              <w:rPr>
                <w:sz w:val="18"/>
                <w:szCs w:val="18"/>
                <w:color w:val="auto"/>
              </w:rPr>
            </w:pPr>
          </w:p>
        </w:tc>
        <w:tc>
          <w:tcPr>
            <w:tcW w:w="110" w:type="dxa"/>
            <w:vAlign w:val="bottom"/>
            <w:tcBorders>
              <w:top w:val="single" w:sz="8" w:color="auto"/>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010" w:type="dxa"/>
            <w:vAlign w:val="bottom"/>
            <w:tcBorders>
              <w:top w:val="single" w:sz="8" w:color="auto"/>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rPr>
              <w:t>13,012</w:t>
            </w:r>
          </w:p>
        </w:tc>
        <w:tc>
          <w:tcPr>
            <w:tcW w:w="80" w:type="dxa"/>
            <w:vAlign w:val="bottom"/>
            <w:tcBorders>
              <w:top w:val="single" w:sz="8" w:color="E7E7E7"/>
            </w:tcBorders>
            <w:shd w:val="clear" w:color="auto" w:fill="E7E7E7"/>
          </w:tcPr>
          <w:p>
            <w:pPr>
              <w:spacing w:after="0"/>
              <w:rPr>
                <w:sz w:val="18"/>
                <w:szCs w:val="18"/>
                <w:color w:val="auto"/>
              </w:rPr>
            </w:pPr>
          </w:p>
        </w:tc>
      </w:tr>
      <w:tr>
        <w:trPr>
          <w:trHeight w:val="20"/>
        </w:trPr>
        <w:tc>
          <w:tcPr>
            <w:tcW w:w="535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0"/>
        </w:trPr>
        <w:tc>
          <w:tcPr>
            <w:tcW w:w="5500" w:type="dxa"/>
            <w:vAlign w:val="bottom"/>
            <w:gridSpan w:val="3"/>
          </w:tcPr>
          <w:p>
            <w:pPr>
              <w:ind w:left="48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tc>
        <w:tc>
          <w:tcPr>
            <w:tcW w:w="9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35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420" w:type="dxa"/>
            <w:vAlign w:val="bottom"/>
            <w:gridSpan w:val="7"/>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9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08"/>
        </w:trPr>
        <w:tc>
          <w:tcPr>
            <w:tcW w:w="535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top w:val="single" w:sz="8" w:color="auto"/>
            </w:tcBorders>
          </w:tcPr>
          <w:p>
            <w:pPr>
              <w:spacing w:after="0"/>
              <w:rPr>
                <w:sz w:val="18"/>
                <w:szCs w:val="18"/>
                <w:color w:val="auto"/>
              </w:rPr>
            </w:pPr>
          </w:p>
        </w:tc>
        <w:tc>
          <w:tcPr>
            <w:tcW w:w="1010" w:type="dxa"/>
            <w:vAlign w:val="bottom"/>
            <w:tcBorders>
              <w:top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90" w:type="dxa"/>
            <w:vAlign w:val="bottom"/>
            <w:gridSpan w:val="2"/>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w w:val="99"/>
              </w:rPr>
              <w:t>(Decrease)</w:t>
            </w:r>
          </w:p>
        </w:tc>
      </w:tr>
      <w:tr>
        <w:trPr>
          <w:trHeight w:val="213"/>
        </w:trPr>
        <w:tc>
          <w:tcPr>
            <w:tcW w:w="5350" w:type="dxa"/>
            <w:vAlign w:val="bottom"/>
            <w:tcBorders>
              <w:top w:val="single" w:sz="8" w:color="E7E7E7"/>
            </w:tcBorders>
            <w:shd w:val="clear" w:color="auto" w:fill="E7E7E7"/>
          </w:tcPr>
          <w:p>
            <w:pPr>
              <w:spacing w:after="0" w:line="213" w:lineRule="exact"/>
              <w:rPr>
                <w:sz w:val="20"/>
                <w:szCs w:val="20"/>
                <w:color w:val="auto"/>
              </w:rPr>
            </w:pPr>
            <w:r>
              <w:rPr>
                <w:rFonts w:ascii="Times New Roman" w:cs="Times New Roman" w:eastAsia="Times New Roman" w:hAnsi="Times New Roman"/>
                <w:sz w:val="20"/>
                <w:szCs w:val="20"/>
                <w:color w:val="auto"/>
              </w:rPr>
              <w:t>Direct research and development services</w:t>
            </w: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9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7E7E7"/>
              </w:rPr>
              <w:t>$</w:t>
            </w:r>
          </w:p>
        </w:tc>
        <w:tc>
          <w:tcPr>
            <w:tcW w:w="101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rPr>
              <w:t>8,792</w:t>
            </w:r>
          </w:p>
        </w:tc>
        <w:tc>
          <w:tcPr>
            <w:tcW w:w="80" w:type="dxa"/>
            <w:vAlign w:val="bottom"/>
            <w:tcBorders>
              <w:top w:val="single" w:sz="8" w:color="E7E7E7"/>
            </w:tcBorders>
            <w:shd w:val="clear" w:color="auto" w:fill="E7E7E7"/>
          </w:tcPr>
          <w:p>
            <w:pPr>
              <w:spacing w:after="0"/>
              <w:rPr>
                <w:sz w:val="18"/>
                <w:szCs w:val="18"/>
                <w:color w:val="auto"/>
              </w:rPr>
            </w:pPr>
          </w:p>
        </w:tc>
        <w:tc>
          <w:tcPr>
            <w:tcW w:w="12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0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02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rPr>
              <w:t>11,967</w:t>
            </w:r>
          </w:p>
        </w:tc>
        <w:tc>
          <w:tcPr>
            <w:tcW w:w="70" w:type="dxa"/>
            <w:vAlign w:val="bottom"/>
            <w:tcBorders>
              <w:top w:val="single" w:sz="8" w:color="E7E7E7"/>
            </w:tcBorders>
            <w:shd w:val="clear" w:color="auto" w:fill="E7E7E7"/>
          </w:tcPr>
          <w:p>
            <w:pPr>
              <w:spacing w:after="0"/>
              <w:rPr>
                <w:sz w:val="18"/>
                <w:szCs w:val="18"/>
                <w:color w:val="auto"/>
              </w:rPr>
            </w:pP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1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01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rPr>
              <w:t>(3,175</w:t>
            </w:r>
          </w:p>
        </w:tc>
        <w:tc>
          <w:tcPr>
            <w:tcW w:w="8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45"/>
        </w:trPr>
        <w:tc>
          <w:tcPr>
            <w:tcW w:w="535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Employee related expenses</w:t>
            </w:r>
          </w:p>
        </w:tc>
        <w:tc>
          <w:tcPr>
            <w:tcW w:w="13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90" w:type="dxa"/>
            <w:vAlign w:val="bottom"/>
            <w:tcBorders>
              <w:bottom w:val="single" w:sz="8" w:color="E7E7E7"/>
            </w:tcBorders>
          </w:tcPr>
          <w:p>
            <w:pPr>
              <w:spacing w:after="0"/>
              <w:rPr>
                <w:sz w:val="21"/>
                <w:szCs w:val="21"/>
                <w:color w:val="auto"/>
              </w:rPr>
            </w:pPr>
          </w:p>
        </w:tc>
        <w:tc>
          <w:tcPr>
            <w:tcW w:w="101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2,119</w:t>
            </w:r>
          </w:p>
        </w:tc>
        <w:tc>
          <w:tcPr>
            <w:tcW w:w="80" w:type="dxa"/>
            <w:vAlign w:val="bottom"/>
            <w:tcBorders>
              <w:bottom w:val="single" w:sz="8" w:color="E7E7E7"/>
            </w:tcBorders>
          </w:tcPr>
          <w:p>
            <w:pPr>
              <w:spacing w:after="0"/>
              <w:rPr>
                <w:sz w:val="21"/>
                <w:szCs w:val="21"/>
                <w:color w:val="auto"/>
              </w:rPr>
            </w:pPr>
          </w:p>
        </w:tc>
        <w:tc>
          <w:tcPr>
            <w:tcW w:w="12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10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70" w:type="dxa"/>
            <w:vAlign w:val="bottom"/>
            <w:tcBorders>
              <w:bottom w:val="single" w:sz="8" w:color="E7E7E7"/>
            </w:tcBorders>
          </w:tcPr>
          <w:p>
            <w:pPr>
              <w:spacing w:after="0"/>
              <w:rPr>
                <w:sz w:val="21"/>
                <w:szCs w:val="21"/>
                <w:color w:val="auto"/>
              </w:rPr>
            </w:pPr>
          </w:p>
        </w:tc>
        <w:tc>
          <w:tcPr>
            <w:tcW w:w="13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10" w:type="dxa"/>
            <w:vAlign w:val="bottom"/>
            <w:tcBorders>
              <w:bottom w:val="single" w:sz="8" w:color="E7E7E7"/>
            </w:tcBorders>
          </w:tcPr>
          <w:p>
            <w:pPr>
              <w:spacing w:after="0"/>
              <w:rPr>
                <w:sz w:val="21"/>
                <w:szCs w:val="21"/>
                <w:color w:val="auto"/>
              </w:rPr>
            </w:pPr>
          </w:p>
        </w:tc>
        <w:tc>
          <w:tcPr>
            <w:tcW w:w="101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24"/>
        </w:trPr>
        <w:tc>
          <w:tcPr>
            <w:tcW w:w="5350" w:type="dxa"/>
            <w:vAlign w:val="bottom"/>
            <w:shd w:val="clear" w:color="auto" w:fill="E7E7E7"/>
          </w:tcPr>
          <w:p>
            <w:pPr>
              <w:spacing w:after="0" w:line="224" w:lineRule="exact"/>
              <w:rPr>
                <w:sz w:val="20"/>
                <w:szCs w:val="20"/>
                <w:color w:val="auto"/>
              </w:rPr>
            </w:pPr>
            <w:r>
              <w:rPr>
                <w:rFonts w:ascii="Times New Roman" w:cs="Times New Roman" w:eastAsia="Times New Roman" w:hAnsi="Times New Roman"/>
                <w:sz w:val="20"/>
                <w:szCs w:val="20"/>
                <w:color w:val="auto"/>
              </w:rPr>
              <w:t>Professional fees for services</w:t>
            </w:r>
          </w:p>
        </w:tc>
        <w:tc>
          <w:tcPr>
            <w:tcW w:w="13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1010" w:type="dxa"/>
            <w:vAlign w:val="bottom"/>
            <w:shd w:val="clear" w:color="auto" w:fill="E7E7E7"/>
          </w:tcPr>
          <w:p>
            <w:pPr>
              <w:jc w:val="right"/>
              <w:spacing w:after="0" w:line="224" w:lineRule="exact"/>
              <w:rPr>
                <w:sz w:val="20"/>
                <w:szCs w:val="20"/>
                <w:color w:val="auto"/>
              </w:rPr>
            </w:pPr>
            <w:r>
              <w:rPr>
                <w:rFonts w:ascii="Times New Roman" w:cs="Times New Roman" w:eastAsia="Times New Roman" w:hAnsi="Times New Roman"/>
                <w:sz w:val="20"/>
                <w:szCs w:val="20"/>
                <w:color w:val="auto"/>
              </w:rPr>
              <w:t>44</w:t>
            </w:r>
          </w:p>
        </w:tc>
        <w:tc>
          <w:tcPr>
            <w:tcW w:w="8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020" w:type="dxa"/>
            <w:vAlign w:val="bottom"/>
            <w:shd w:val="clear" w:color="auto" w:fill="E7E7E7"/>
          </w:tcPr>
          <w:p>
            <w:pPr>
              <w:jc w:val="right"/>
              <w:spacing w:after="0" w:line="224" w:lineRule="exact"/>
              <w:rPr>
                <w:sz w:val="20"/>
                <w:szCs w:val="20"/>
                <w:color w:val="auto"/>
              </w:rPr>
            </w:pPr>
            <w:r>
              <w:rPr>
                <w:rFonts w:ascii="Times New Roman" w:cs="Times New Roman" w:eastAsia="Times New Roman" w:hAnsi="Times New Roman"/>
                <w:sz w:val="20"/>
                <w:szCs w:val="20"/>
                <w:color w:val="auto"/>
              </w:rPr>
              <w:t>34</w:t>
            </w:r>
          </w:p>
        </w:tc>
        <w:tc>
          <w:tcPr>
            <w:tcW w:w="70" w:type="dxa"/>
            <w:vAlign w:val="bottom"/>
            <w:shd w:val="clear" w:color="auto" w:fill="E7E7E7"/>
          </w:tcPr>
          <w:p>
            <w:pPr>
              <w:spacing w:after="0"/>
              <w:rPr>
                <w:sz w:val="19"/>
                <w:szCs w:val="19"/>
                <w:color w:val="auto"/>
              </w:rPr>
            </w:pPr>
          </w:p>
        </w:tc>
        <w:tc>
          <w:tcPr>
            <w:tcW w:w="13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10" w:type="dxa"/>
            <w:vAlign w:val="bottom"/>
            <w:shd w:val="clear" w:color="auto" w:fill="E7E7E7"/>
          </w:tcPr>
          <w:p>
            <w:pPr>
              <w:spacing w:after="0"/>
              <w:rPr>
                <w:sz w:val="19"/>
                <w:szCs w:val="19"/>
                <w:color w:val="auto"/>
              </w:rPr>
            </w:pPr>
          </w:p>
        </w:tc>
        <w:tc>
          <w:tcPr>
            <w:tcW w:w="1010" w:type="dxa"/>
            <w:vAlign w:val="bottom"/>
            <w:shd w:val="clear" w:color="auto" w:fill="E7E7E7"/>
          </w:tcPr>
          <w:p>
            <w:pPr>
              <w:jc w:val="right"/>
              <w:spacing w:after="0" w:line="224" w:lineRule="exact"/>
              <w:rPr>
                <w:sz w:val="20"/>
                <w:szCs w:val="20"/>
                <w:color w:val="auto"/>
              </w:rPr>
            </w:pPr>
            <w:r>
              <w:rPr>
                <w:rFonts w:ascii="Times New Roman" w:cs="Times New Roman" w:eastAsia="Times New Roman" w:hAnsi="Times New Roman"/>
                <w:sz w:val="20"/>
                <w:szCs w:val="20"/>
                <w:color w:val="auto"/>
              </w:rPr>
              <w:t>10</w:t>
            </w:r>
          </w:p>
        </w:tc>
        <w:tc>
          <w:tcPr>
            <w:tcW w:w="80" w:type="dxa"/>
            <w:vAlign w:val="bottom"/>
            <w:shd w:val="clear" w:color="auto" w:fill="E7E7E7"/>
          </w:tcPr>
          <w:p>
            <w:pPr>
              <w:spacing w:after="0"/>
              <w:rPr>
                <w:sz w:val="19"/>
                <w:szCs w:val="19"/>
                <w:color w:val="auto"/>
              </w:rPr>
            </w:pPr>
          </w:p>
        </w:tc>
      </w:tr>
      <w:tr>
        <w:trPr>
          <w:trHeight w:val="270"/>
        </w:trPr>
        <w:tc>
          <w:tcPr>
            <w:tcW w:w="5500" w:type="dxa"/>
            <w:vAlign w:val="bottom"/>
            <w:tcBorders>
              <w:bottom w:val="single" w:sz="8" w:color="E7E7E7"/>
            </w:tcBorders>
            <w:gridSpan w:val="3"/>
          </w:tcPr>
          <w:p>
            <w:pPr>
              <w:spacing w:after="0"/>
              <w:rPr>
                <w:sz w:val="20"/>
                <w:szCs w:val="20"/>
                <w:color w:val="auto"/>
              </w:rPr>
            </w:pPr>
            <w:r>
              <w:rPr>
                <w:rFonts w:ascii="Times New Roman" w:cs="Times New Roman" w:eastAsia="Times New Roman" w:hAnsi="Times New Roman"/>
                <w:sz w:val="20"/>
                <w:szCs w:val="20"/>
                <w:color w:val="auto"/>
              </w:rPr>
              <w:t>Facilities and other expenses</w:t>
            </w:r>
          </w:p>
        </w:tc>
        <w:tc>
          <w:tcPr>
            <w:tcW w:w="90" w:type="dxa"/>
            <w:vAlign w:val="bottom"/>
            <w:tcBorders>
              <w:bottom w:val="single" w:sz="8" w:color="auto"/>
            </w:tcBorders>
          </w:tcPr>
          <w:p>
            <w:pPr>
              <w:spacing w:after="0"/>
              <w:rPr>
                <w:sz w:val="23"/>
                <w:szCs w:val="23"/>
                <w:color w:val="auto"/>
              </w:rPr>
            </w:pPr>
          </w:p>
        </w:tc>
        <w:tc>
          <w:tcPr>
            <w:tcW w:w="10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Borders>
              <w:bottom w:val="single" w:sz="8" w:color="E7E7E7"/>
            </w:tcBorders>
          </w:tcPr>
          <w:p>
            <w:pPr>
              <w:spacing w:after="0"/>
              <w:rPr>
                <w:sz w:val="23"/>
                <w:szCs w:val="23"/>
                <w:color w:val="auto"/>
              </w:rPr>
            </w:pPr>
          </w:p>
        </w:tc>
        <w:tc>
          <w:tcPr>
            <w:tcW w:w="120" w:type="dxa"/>
            <w:vAlign w:val="bottom"/>
            <w:tcBorders>
              <w:bottom w:val="single" w:sz="8" w:color="E7E7E7"/>
            </w:tcBorders>
          </w:tcPr>
          <w:p>
            <w:pPr>
              <w:spacing w:after="0"/>
              <w:rPr>
                <w:sz w:val="23"/>
                <w:szCs w:val="23"/>
                <w:color w:val="auto"/>
              </w:rPr>
            </w:pPr>
          </w:p>
        </w:tc>
        <w:tc>
          <w:tcPr>
            <w:tcW w:w="20" w:type="dxa"/>
            <w:vAlign w:val="bottom"/>
            <w:tcBorders>
              <w:bottom w:val="single" w:sz="8" w:color="E7E7E7"/>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70" w:type="dxa"/>
            <w:vAlign w:val="bottom"/>
            <w:tcBorders>
              <w:bottom w:val="single" w:sz="8" w:color="E7E7E7"/>
            </w:tcBorders>
          </w:tcPr>
          <w:p>
            <w:pPr>
              <w:spacing w:after="0"/>
              <w:rPr>
                <w:sz w:val="23"/>
                <w:szCs w:val="23"/>
                <w:color w:val="auto"/>
              </w:rPr>
            </w:pPr>
          </w:p>
        </w:tc>
        <w:tc>
          <w:tcPr>
            <w:tcW w:w="130" w:type="dxa"/>
            <w:vAlign w:val="bottom"/>
            <w:tcBorders>
              <w:bottom w:val="single" w:sz="8" w:color="E7E7E7"/>
            </w:tcBorders>
          </w:tcPr>
          <w:p>
            <w:pPr>
              <w:spacing w:after="0"/>
              <w:rPr>
                <w:sz w:val="23"/>
                <w:szCs w:val="23"/>
                <w:color w:val="auto"/>
              </w:rPr>
            </w:pPr>
          </w:p>
        </w:tc>
        <w:tc>
          <w:tcPr>
            <w:tcW w:w="20" w:type="dxa"/>
            <w:vAlign w:val="bottom"/>
            <w:tcBorders>
              <w:bottom w:val="single" w:sz="8" w:color="E7E7E7"/>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10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Borders>
              <w:bottom w:val="single" w:sz="8" w:color="E7E7E7"/>
            </w:tcBorders>
          </w:tcPr>
          <w:p>
            <w:pPr>
              <w:spacing w:after="0"/>
              <w:rPr>
                <w:sz w:val="23"/>
                <w:szCs w:val="23"/>
                <w:color w:val="auto"/>
              </w:rPr>
            </w:pPr>
          </w:p>
        </w:tc>
      </w:tr>
      <w:tr>
        <w:trPr>
          <w:trHeight w:val="214"/>
        </w:trPr>
        <w:tc>
          <w:tcPr>
            <w:tcW w:w="5350" w:type="dxa"/>
            <w:vAlign w:val="bottom"/>
            <w:tcBorders>
              <w:top w:val="single" w:sz="8" w:color="E7E7E7"/>
            </w:tcBorders>
            <w:shd w:val="clear" w:color="auto" w:fill="E7E7E7"/>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research and development expenses</w:t>
            </w: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bottom w:val="single" w:sz="8" w:color="auto"/>
            </w:tcBorders>
            <w:shd w:val="clear" w:color="auto" w:fill="E7E7E7"/>
          </w:tcPr>
          <w:p>
            <w:pPr>
              <w:spacing w:after="0"/>
              <w:rPr>
                <w:sz w:val="18"/>
                <w:szCs w:val="18"/>
                <w:color w:val="auto"/>
              </w:rPr>
            </w:pPr>
          </w:p>
        </w:tc>
        <w:tc>
          <w:tcPr>
            <w:tcW w:w="90" w:type="dxa"/>
            <w:vAlign w:val="bottom"/>
            <w:tcBorders>
              <w:top w:val="single" w:sz="8" w:color="E7E7E7"/>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7E7E7"/>
              </w:rPr>
              <w:t>$</w:t>
            </w:r>
          </w:p>
        </w:tc>
        <w:tc>
          <w:tcPr>
            <w:tcW w:w="1010" w:type="dxa"/>
            <w:vAlign w:val="bottom"/>
            <w:tcBorders>
              <w:top w:val="single" w:sz="8" w:color="E7E7E7"/>
              <w:bottom w:val="single" w:sz="8" w:color="auto"/>
            </w:tcBorders>
            <w:shd w:val="clear" w:color="auto" w:fill="E7E7E7"/>
          </w:tcPr>
          <w:p>
            <w:pPr>
              <w:jc w:val="right"/>
              <w:spacing w:after="0" w:line="214" w:lineRule="exact"/>
              <w:rPr>
                <w:sz w:val="20"/>
                <w:szCs w:val="20"/>
                <w:color w:val="auto"/>
              </w:rPr>
            </w:pPr>
            <w:r>
              <w:rPr>
                <w:rFonts w:ascii="Times New Roman" w:cs="Times New Roman" w:eastAsia="Times New Roman" w:hAnsi="Times New Roman"/>
                <w:sz w:val="20"/>
                <w:szCs w:val="20"/>
                <w:color w:val="auto"/>
              </w:rPr>
              <w:t>11,029</w:t>
            </w:r>
          </w:p>
        </w:tc>
        <w:tc>
          <w:tcPr>
            <w:tcW w:w="80" w:type="dxa"/>
            <w:vAlign w:val="bottom"/>
            <w:tcBorders>
              <w:top w:val="single" w:sz="8" w:color="E7E7E7"/>
            </w:tcBorders>
            <w:shd w:val="clear" w:color="auto" w:fill="E7E7E7"/>
          </w:tcPr>
          <w:p>
            <w:pPr>
              <w:spacing w:after="0"/>
              <w:rPr>
                <w:sz w:val="18"/>
                <w:szCs w:val="18"/>
                <w:color w:val="auto"/>
              </w:rPr>
            </w:pPr>
          </w:p>
        </w:tc>
        <w:tc>
          <w:tcPr>
            <w:tcW w:w="12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bottom w:val="single" w:sz="8" w:color="auto"/>
            </w:tcBorders>
            <w:shd w:val="clear" w:color="auto" w:fill="E7E7E7"/>
          </w:tcPr>
          <w:p>
            <w:pPr>
              <w:spacing w:after="0"/>
              <w:rPr>
                <w:sz w:val="18"/>
                <w:szCs w:val="18"/>
                <w:color w:val="auto"/>
              </w:rPr>
            </w:pPr>
          </w:p>
        </w:tc>
        <w:tc>
          <w:tcPr>
            <w:tcW w:w="100" w:type="dxa"/>
            <w:vAlign w:val="bottom"/>
            <w:tcBorders>
              <w:top w:val="single" w:sz="8" w:color="E7E7E7"/>
              <w:bottom w:val="single" w:sz="8" w:color="auto"/>
            </w:tcBorders>
            <w:shd w:val="clear" w:color="auto" w:fill="E7E7E7"/>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020" w:type="dxa"/>
            <w:vAlign w:val="bottom"/>
            <w:tcBorders>
              <w:top w:val="single" w:sz="8" w:color="E7E7E7"/>
              <w:bottom w:val="single" w:sz="8" w:color="auto"/>
            </w:tcBorders>
            <w:shd w:val="clear" w:color="auto" w:fill="E7E7E7"/>
          </w:tcPr>
          <w:p>
            <w:pPr>
              <w:jc w:val="right"/>
              <w:spacing w:after="0" w:line="214" w:lineRule="exact"/>
              <w:rPr>
                <w:sz w:val="20"/>
                <w:szCs w:val="20"/>
                <w:color w:val="auto"/>
              </w:rPr>
            </w:pPr>
            <w:r>
              <w:rPr>
                <w:rFonts w:ascii="Times New Roman" w:cs="Times New Roman" w:eastAsia="Times New Roman" w:hAnsi="Times New Roman"/>
                <w:sz w:val="20"/>
                <w:szCs w:val="20"/>
                <w:color w:val="auto"/>
              </w:rPr>
              <w:t>14,248</w:t>
            </w:r>
          </w:p>
        </w:tc>
        <w:tc>
          <w:tcPr>
            <w:tcW w:w="70" w:type="dxa"/>
            <w:vAlign w:val="bottom"/>
            <w:tcBorders>
              <w:top w:val="single" w:sz="8" w:color="E7E7E7"/>
            </w:tcBorders>
            <w:shd w:val="clear" w:color="auto" w:fill="E7E7E7"/>
          </w:tcPr>
          <w:p>
            <w:pPr>
              <w:spacing w:after="0"/>
              <w:rPr>
                <w:sz w:val="18"/>
                <w:szCs w:val="18"/>
                <w:color w:val="auto"/>
              </w:rPr>
            </w:pP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bottom w:val="single" w:sz="8" w:color="auto"/>
            </w:tcBorders>
            <w:shd w:val="clear" w:color="auto" w:fill="E7E7E7"/>
          </w:tcPr>
          <w:p>
            <w:pPr>
              <w:spacing w:after="0"/>
              <w:rPr>
                <w:sz w:val="18"/>
                <w:szCs w:val="18"/>
                <w:color w:val="auto"/>
              </w:rPr>
            </w:pPr>
          </w:p>
        </w:tc>
        <w:tc>
          <w:tcPr>
            <w:tcW w:w="110" w:type="dxa"/>
            <w:vAlign w:val="bottom"/>
            <w:tcBorders>
              <w:top w:val="single" w:sz="8" w:color="E7E7E7"/>
              <w:bottom w:val="single" w:sz="8" w:color="auto"/>
            </w:tcBorders>
            <w:shd w:val="clear" w:color="auto" w:fill="E7E7E7"/>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010" w:type="dxa"/>
            <w:vAlign w:val="bottom"/>
            <w:tcBorders>
              <w:top w:val="single" w:sz="8" w:color="E7E7E7"/>
              <w:bottom w:val="single" w:sz="8" w:color="auto"/>
            </w:tcBorders>
            <w:shd w:val="clear" w:color="auto" w:fill="E7E7E7"/>
          </w:tcPr>
          <w:p>
            <w:pPr>
              <w:jc w:val="right"/>
              <w:spacing w:after="0" w:line="214" w:lineRule="exact"/>
              <w:rPr>
                <w:sz w:val="20"/>
                <w:szCs w:val="20"/>
                <w:color w:val="auto"/>
              </w:rPr>
            </w:pPr>
            <w:r>
              <w:rPr>
                <w:rFonts w:ascii="Times New Roman" w:cs="Times New Roman" w:eastAsia="Times New Roman" w:hAnsi="Times New Roman"/>
                <w:sz w:val="20"/>
                <w:szCs w:val="20"/>
                <w:color w:val="auto"/>
              </w:rPr>
              <w:t>(3,219</w:t>
            </w:r>
          </w:p>
        </w:tc>
        <w:tc>
          <w:tcPr>
            <w:tcW w:w="8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0"/>
        </w:trPr>
        <w:tc>
          <w:tcPr>
            <w:tcW w:w="535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-2800985</wp:posOffset>
                </wp:positionV>
                <wp:extent cx="59436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0.5499pt" to="468pt,-220.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59436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468pt,-51.1499pt" o:allowincell="f" strokecolor="#FFFFFF" strokeweight="0.72pt"/>
            </w:pict>
          </mc:Fallback>
        </mc:AlternateContent>
      </w:r>
    </w:p>
    <w:p>
      <w:pPr>
        <w:spacing w:after="0" w:line="19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Research and development expenses for the year ended December 31, 2025 were $11.0 million, compared to $14.2 million for the year ended December 31, 2024. The decrease of $3.2 million of research and development expenses was primarily a result of the clinical hold imposed on LTI-03. During the year ended December 31, 2025, we spent $5.5 million on clinical trials, $2.4 million on manufacturing, $2.1 million on employee and related expenses, $0.1 million on professional fees and facilities and other expenses, and $0.9 million on regulatory and development consulting. During the year ended December 31, 2024, we incurred expenses of $5.9 million on clinical trials and preclinical studies, $5.5 million on manufacturing including $3.2 million write-offs due to the expiration of clinical materials and the temporary delay of clinical development of LTI-01, and $0.6 million on regulatory and development consulting as well as $2.2 million on employee and related expenses associated with clinical programs acquired in the Lung Acquisition. These programs and related activities were not included in our financial results for periods prior to the Lung Acquisition.</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27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3"/>
        </w:trPr>
        <w:tc>
          <w:tcPr>
            <w:tcW w:w="4080" w:type="dxa"/>
            <w:vAlign w:val="bottom"/>
            <w:tcBorders>
              <w:top w:val="single" w:sz="8" w:color="E7E7E7"/>
            </w:tcBorders>
            <w:shd w:val="clear" w:color="auto" w:fill="E7E7E7"/>
          </w:tcPr>
          <w:p>
            <w:pPr>
              <w:spacing w:after="0" w:line="213" w:lineRule="exact"/>
              <w:rPr>
                <w:sz w:val="20"/>
                <w:szCs w:val="20"/>
                <w:color w:val="auto"/>
              </w:rPr>
            </w:pPr>
            <w:r>
              <w:rPr>
                <w:rFonts w:ascii="Times New Roman" w:cs="Times New Roman" w:eastAsia="Times New Roman" w:hAnsi="Times New Roman"/>
                <w:sz w:val="20"/>
                <w:szCs w:val="20"/>
                <w:color w:val="auto"/>
              </w:rPr>
              <w:t>Employee related expenses</w:t>
            </w:r>
          </w:p>
        </w:tc>
        <w:tc>
          <w:tcPr>
            <w:tcW w:w="1270" w:type="dxa"/>
            <w:vAlign w:val="bottom"/>
            <w:tcBorders>
              <w:top w:val="single" w:sz="8" w:color="E7E7E7"/>
            </w:tcBorders>
            <w:shd w:val="clear" w:color="auto" w:fill="E7E7E7"/>
          </w:tcPr>
          <w:p>
            <w:pPr>
              <w:spacing w:after="0"/>
              <w:rPr>
                <w:sz w:val="18"/>
                <w:szCs w:val="18"/>
                <w:color w:val="auto"/>
              </w:rPr>
            </w:pPr>
          </w:p>
        </w:tc>
        <w:tc>
          <w:tcPr>
            <w:tcW w:w="13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0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7E7E7"/>
              </w:rPr>
              <w:t>$</w:t>
            </w:r>
          </w:p>
        </w:tc>
        <w:tc>
          <w:tcPr>
            <w:tcW w:w="100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rPr>
              <w:t>3,748</w:t>
            </w:r>
          </w:p>
        </w:tc>
        <w:tc>
          <w:tcPr>
            <w:tcW w:w="20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0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02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rPr>
              <w:t>5,465</w:t>
            </w:r>
          </w:p>
        </w:tc>
        <w:tc>
          <w:tcPr>
            <w:tcW w:w="20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0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02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rPr>
              <w:t>(1,717</w:t>
            </w:r>
          </w:p>
        </w:tc>
        <w:tc>
          <w:tcPr>
            <w:tcW w:w="8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Professional fees for services</w:t>
            </w:r>
          </w:p>
        </w:tc>
        <w:tc>
          <w:tcPr>
            <w:tcW w:w="1270" w:type="dxa"/>
            <w:vAlign w:val="bottom"/>
            <w:tcBorders>
              <w:bottom w:val="single" w:sz="8" w:color="E7E7E7"/>
            </w:tcBorders>
          </w:tcPr>
          <w:p>
            <w:pPr>
              <w:spacing w:after="0"/>
              <w:rPr>
                <w:sz w:val="21"/>
                <w:szCs w:val="21"/>
                <w:color w:val="auto"/>
              </w:rPr>
            </w:pPr>
          </w:p>
        </w:tc>
        <w:tc>
          <w:tcPr>
            <w:tcW w:w="13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100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5,191</w:t>
            </w:r>
          </w:p>
        </w:tc>
        <w:tc>
          <w:tcPr>
            <w:tcW w:w="20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10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6,257</w:t>
            </w:r>
          </w:p>
        </w:tc>
        <w:tc>
          <w:tcPr>
            <w:tcW w:w="20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1100" w:type="dxa"/>
            <w:vAlign w:val="bottom"/>
            <w:tcBorders>
              <w:bottom w:val="single" w:sz="8" w:color="E7E7E7"/>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(1,066 )</w:t>
            </w:r>
          </w:p>
        </w:tc>
        <w:tc>
          <w:tcPr>
            <w:tcW w:w="0" w:type="dxa"/>
            <w:vAlign w:val="bottom"/>
          </w:tcPr>
          <w:p>
            <w:pPr>
              <w:spacing w:after="0"/>
              <w:rPr>
                <w:sz w:val="1"/>
                <w:szCs w:val="1"/>
                <w:color w:val="auto"/>
              </w:rPr>
            </w:pPr>
          </w:p>
        </w:tc>
      </w:tr>
      <w:tr>
        <w:trPr>
          <w:trHeight w:val="245"/>
        </w:trPr>
        <w:tc>
          <w:tcPr>
            <w:tcW w:w="4080" w:type="dxa"/>
            <w:vAlign w:val="bottom"/>
            <w:tcBorders>
              <w:bottom w:val="single" w:sz="8" w:color="E7E7E7"/>
            </w:tcBorders>
            <w:shd w:val="clear" w:color="auto" w:fill="E7E7E7"/>
          </w:tcPr>
          <w:p>
            <w:pPr>
              <w:spacing w:after="0" w:line="225" w:lineRule="exact"/>
              <w:rPr>
                <w:sz w:val="20"/>
                <w:szCs w:val="20"/>
                <w:color w:val="auto"/>
              </w:rPr>
            </w:pPr>
            <w:r>
              <w:rPr>
                <w:rFonts w:ascii="Times New Roman" w:cs="Times New Roman" w:eastAsia="Times New Roman" w:hAnsi="Times New Roman"/>
                <w:sz w:val="20"/>
                <w:szCs w:val="20"/>
                <w:color w:val="auto"/>
              </w:rPr>
              <w:t>Facilities and other expenses</w:t>
            </w:r>
          </w:p>
        </w:tc>
        <w:tc>
          <w:tcPr>
            <w:tcW w:w="1270" w:type="dxa"/>
            <w:vAlign w:val="bottom"/>
            <w:tcBorders>
              <w:bottom w:val="single" w:sz="8" w:color="E7E7E7"/>
            </w:tcBorders>
            <w:shd w:val="clear" w:color="auto" w:fill="E7E7E7"/>
          </w:tcPr>
          <w:p>
            <w:pPr>
              <w:spacing w:after="0"/>
              <w:rPr>
                <w:sz w:val="21"/>
                <w:szCs w:val="21"/>
                <w:color w:val="auto"/>
              </w:rPr>
            </w:pPr>
          </w:p>
        </w:tc>
        <w:tc>
          <w:tcPr>
            <w:tcW w:w="130" w:type="dxa"/>
            <w:vAlign w:val="bottom"/>
            <w:tcBorders>
              <w:bottom w:val="single" w:sz="8" w:color="E7E7E7"/>
            </w:tcBorders>
            <w:shd w:val="clear" w:color="auto" w:fill="E7E7E7"/>
          </w:tcPr>
          <w:p>
            <w:pPr>
              <w:spacing w:after="0"/>
              <w:rPr>
                <w:sz w:val="21"/>
                <w:szCs w:val="21"/>
                <w:color w:val="auto"/>
              </w:rPr>
            </w:pPr>
          </w:p>
        </w:tc>
        <w:tc>
          <w:tcPr>
            <w:tcW w:w="20" w:type="dxa"/>
            <w:vAlign w:val="bottom"/>
            <w:tcBorders>
              <w:bottom w:val="single" w:sz="8" w:color="E7E7E7"/>
            </w:tcBorders>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000" w:type="dxa"/>
            <w:vAlign w:val="bottom"/>
            <w:tcBorders>
              <w:bottom w:val="single" w:sz="8" w:color="auto"/>
            </w:tcBorders>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1,963</w:t>
            </w:r>
          </w:p>
        </w:tc>
        <w:tc>
          <w:tcPr>
            <w:tcW w:w="200" w:type="dxa"/>
            <w:vAlign w:val="bottom"/>
            <w:tcBorders>
              <w:bottom w:val="single" w:sz="8" w:color="E7E7E7"/>
            </w:tcBorders>
            <w:shd w:val="clear" w:color="auto" w:fill="E7E7E7"/>
          </w:tcPr>
          <w:p>
            <w:pPr>
              <w:spacing w:after="0"/>
              <w:rPr>
                <w:sz w:val="21"/>
                <w:szCs w:val="21"/>
                <w:color w:val="auto"/>
              </w:rPr>
            </w:pPr>
          </w:p>
        </w:tc>
        <w:tc>
          <w:tcPr>
            <w:tcW w:w="20" w:type="dxa"/>
            <w:vAlign w:val="bottom"/>
            <w:tcBorders>
              <w:bottom w:val="single" w:sz="8" w:color="E7E7E7"/>
            </w:tcBorders>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020" w:type="dxa"/>
            <w:vAlign w:val="bottom"/>
            <w:tcBorders>
              <w:bottom w:val="single" w:sz="8" w:color="auto"/>
            </w:tcBorders>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2,142</w:t>
            </w:r>
          </w:p>
        </w:tc>
        <w:tc>
          <w:tcPr>
            <w:tcW w:w="200" w:type="dxa"/>
            <w:vAlign w:val="bottom"/>
            <w:tcBorders>
              <w:bottom w:val="single" w:sz="8" w:color="E7E7E7"/>
            </w:tcBorders>
            <w:shd w:val="clear" w:color="auto" w:fill="E7E7E7"/>
          </w:tcPr>
          <w:p>
            <w:pPr>
              <w:spacing w:after="0"/>
              <w:rPr>
                <w:sz w:val="21"/>
                <w:szCs w:val="21"/>
                <w:color w:val="auto"/>
              </w:rPr>
            </w:pPr>
          </w:p>
        </w:tc>
        <w:tc>
          <w:tcPr>
            <w:tcW w:w="20" w:type="dxa"/>
            <w:vAlign w:val="bottom"/>
            <w:tcBorders>
              <w:bottom w:val="single" w:sz="8" w:color="E7E7E7"/>
            </w:tcBorders>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020" w:type="dxa"/>
            <w:vAlign w:val="bottom"/>
            <w:tcBorders>
              <w:bottom w:val="single" w:sz="8" w:color="auto"/>
            </w:tcBorders>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(179</w:t>
            </w:r>
          </w:p>
        </w:tc>
        <w:tc>
          <w:tcPr>
            <w:tcW w:w="80" w:type="dxa"/>
            <w:vAlign w:val="bottom"/>
            <w:tcBorders>
              <w:bottom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 general and administrative expenses</w:t>
            </w:r>
          </w:p>
        </w:tc>
        <w:tc>
          <w:tcPr>
            <w:tcW w:w="142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10,902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13,864</w:t>
            </w:r>
          </w:p>
        </w:tc>
        <w:tc>
          <w:tcPr>
            <w:tcW w:w="220" w:type="dxa"/>
            <w:vAlign w:val="bottom"/>
            <w:gridSpan w:val="2"/>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(2,962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70" w:type="dxa"/>
            <w:vAlign w:val="bottom"/>
            <w:vMerge w:val="restart"/>
          </w:tcPr>
          <w:p>
            <w:pPr>
              <w:jc w:val="right"/>
              <w:ind w:right="470"/>
              <w:spacing w:after="0"/>
              <w:rPr>
                <w:sz w:val="20"/>
                <w:szCs w:val="20"/>
                <w:color w:val="auto"/>
              </w:rPr>
            </w:pPr>
            <w:r>
              <w:rPr>
                <w:rFonts w:ascii="Times New Roman" w:cs="Times New Roman" w:eastAsia="Times New Roman" w:hAnsi="Times New Roman"/>
                <w:sz w:val="20"/>
                <w:szCs w:val="20"/>
                <w:color w:val="auto"/>
              </w:rPr>
              <w:t>90</w:t>
            </w:r>
          </w:p>
        </w:tc>
        <w:tc>
          <w:tcPr>
            <w:tcW w:w="13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4080" w:type="dxa"/>
            <w:vAlign w:val="bottom"/>
          </w:tcPr>
          <w:p>
            <w:pPr>
              <w:spacing w:after="0"/>
              <w:rPr>
                <w:sz w:val="24"/>
                <w:szCs w:val="24"/>
                <w:color w:val="auto"/>
              </w:rPr>
            </w:pPr>
          </w:p>
        </w:tc>
        <w:tc>
          <w:tcPr>
            <w:tcW w:w="1270" w:type="dxa"/>
            <w:vAlign w:val="bottom"/>
            <w:vMerge w:val="continue"/>
          </w:tcPr>
          <w:p>
            <w:pPr>
              <w:spacing w:after="0"/>
              <w:rPr>
                <w:sz w:val="24"/>
                <w:szCs w:val="24"/>
                <w:color w:val="auto"/>
              </w:rPr>
            </w:pPr>
          </w:p>
        </w:tc>
        <w:tc>
          <w:tcPr>
            <w:tcW w:w="1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418" w:right="1440" w:bottom="139" w:gutter="0" w:footer="0" w:header="0"/>
        </w:sectPr>
      </w:pPr>
    </w:p>
    <w:bookmarkStart w:id="92" w:name="page93"/>
    <w:bookmarkEnd w:id="92"/>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General and administrative expenses were $10.9 million for the year ended December 31, 2025, compared to $13.9 million for the year ended December 31, 2024. The decrease of $3.0 million in general and administrative expenses was primarily due to decreased professional fees of $1.1 million as a result of decrease of $0.8 million in legal expense, and decrease of $1.0 million in other professional fees including accounting fee and audit and tax fees, offset by increased stock compensation expense of $ 0.7 million due to vesting of restricted stock units granted in exchange for consulting services and the commitment fee related to the Yorkville Transactions recognized during the year ended December 31, 2025, and decreased employee and related expenses of $1.7 million as a result of employee turnover in 2024 as well as decreased facilities and other expenses of $0.2 million.</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Impairment Loss on Intangible Assets</w:t>
      </w:r>
    </w:p>
    <w:p>
      <w:pPr>
        <w:spacing w:after="0" w:line="23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We incurred impairment loss on intangible assets of $28.7 million and $37.0 million for the years ended December 31, 2025 and 2024, respectively, in connection with the delay of further clinical development of LTI-01 and other intangible assets which are early-stage programs until additional funds are raised and after LTI-03 is completed. In the fourth quarter of 2025, we decided to pause development activities related to LTI-01 for an indefinite period. The timing and likelihood of resuming development are uncertain and contingent on our ability to obtain additional financing and the future success of LTI-03. Therefore, the carrying value of the LTI-01 asset and other preclinical programs was fully written off as of December 31, 2025, which resulted in an impairment loss of $28.7 million for the year ended December 31, 2025. We incurred impairment loss on intangible assets of $37.0 million for the year ended December 31, 2024 in connection with the temporary delay of further clinical development of LTI-01 until additional funds are raised. There were no impairment losses recognized for the LTI-03 asset or goodwill during the years ended December 31, 2025 and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net</w:t>
      </w:r>
    </w:p>
    <w:p>
      <w:pPr>
        <w:spacing w:after="0" w:line="241"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Other income, net of less than $0.1 million for the year ended December 31, 2025 primarily consisted of interest income and accretion in our then-current cash and cash equivalents, offset by OID related to the PPA. Other income, net of $0.7 million for the year ended December 31, 2024 consisted of interest income of $0.4 million, investment accretion of $0.3 million, and other income of $0.1 million recognized from the Option Agreement with Advancium. We anticipate that our interest income and investment accretion will fluctuate in the future in response to our then-current cash and cash equivalents, and then-current interest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4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As of December 31, 2025, we had federal and state net operating loss carryforwards of $122.7 million and $46.1 million, respectively, which begin to expire in 2036 and 2043, respectively. As of December 31, 2025, we also had federal research and development tax credit carryforwards of $2.5 million, which begin to expire in 2035. We also have federal orphan drug tax credit carryforwards of $5.8 million which begin to expire in 2039.</w:t>
      </w:r>
    </w:p>
    <w:p>
      <w:pPr>
        <w:spacing w:after="0" w:line="189"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As a result of the Lung Acquisition, the tax attributes have been limited under Section 382. We have reflected the reduction of these tax attributes within the income tax footnote at December 31, 2025 and 2024, respectively.</w:t>
      </w:r>
    </w:p>
    <w:p>
      <w:pPr>
        <w:spacing w:after="0" w:line="201"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 xml:space="preserve">On October 31, 2023, we acquired, in accordance with the terms of the Lung Acquisition Agreement, the stock of Lung. In accordance with Accounting Standards Codification, or ASC,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xml:space="preserve">, recognition of deferred tax assets and liabilities is required for substantially all temporary differences and acquired tax carryforwards and credits. We have computed estimated temporary differences and acquired tax carryforwards and credits as of the transaction date. We will not have tax basis in intangible assets recorded as part of the purchase. For accounting purposes, the intangible assets will not be amortized and subject to impairment review and testing. Though the tax effects may be delayed indefinitely, ASC 740, </w:t>
      </w:r>
      <w:r>
        <w:rPr>
          <w:rFonts w:ascii="Times New Roman" w:cs="Times New Roman" w:eastAsia="Times New Roman" w:hAnsi="Times New Roman"/>
          <w:sz w:val="19"/>
          <w:szCs w:val="19"/>
          <w:i w:val="1"/>
          <w:iCs w:val="1"/>
          <w:color w:val="auto"/>
        </w:rPr>
        <w:t>Accounting for Income Taxes,</w:t>
      </w:r>
      <w:r>
        <w:rPr>
          <w:rFonts w:ascii="Times New Roman" w:cs="Times New Roman" w:eastAsia="Times New Roman" w:hAnsi="Times New Roman"/>
          <w:sz w:val="19"/>
          <w:szCs w:val="19"/>
          <w:color w:val="auto"/>
        </w:rPr>
        <w:t xml:space="preserve"> states that “deferred tax liabilities may not be eliminated or reduced because a reporting entity may be able to delay the settlement of those liabilities by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18" w:right="1440" w:bottom="177" w:gutter="0" w:footer="0" w:header="0"/>
        </w:sectPr>
      </w:pPr>
    </w:p>
    <w:bookmarkStart w:id="93" w:name="page94"/>
    <w:bookmarkEnd w:id="93"/>
    <w:p>
      <w:pPr>
        <w:jc w:val="both"/>
        <w:spacing w:after="0" w:line="280" w:lineRule="auto"/>
        <w:rPr>
          <w:sz w:val="20"/>
          <w:szCs w:val="20"/>
          <w:color w:val="auto"/>
        </w:rPr>
      </w:pPr>
      <w:r>
        <w:rPr>
          <w:rFonts w:ascii="Times New Roman" w:cs="Times New Roman" w:eastAsia="Times New Roman" w:hAnsi="Times New Roman"/>
          <w:sz w:val="20"/>
          <w:szCs w:val="20"/>
          <w:color w:val="auto"/>
        </w:rPr>
        <w:t>delaying the events that would cause taxable temporary differences to reverse.” As such, we have recorded a deferred tax liability for the portion of the liability that cannot be offset with indefinite lived deferred tax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3"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color w:val="auto"/>
        </w:rPr>
        <w:t>Since inception, we have not generated any revenue from product sales and have incurred significant operating losses and negative cash flows from operations. If we obtain funding for our continued operations, we expect to continue to incur significant expenses and operating losses for the foreseeable future as we advance the clinical development of our lead product candidate, LTI-03, or any future product candidates. We expect that our research and development and general and administrative costs would continue to increase significantly, including in connection with conducting clinical trials and manufacturing for our lead product candidates or any future product candidates to support potential future commercialization and providing general and administrative support for our operations, including the costs associated with operating as a public company.</w:t>
      </w:r>
    </w:p>
    <w:p>
      <w:pPr>
        <w:spacing w:after="0" w:line="20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As of December 31, 2025, we had cash and cash equivalents of $3.2 million. Based on our current operating plan, we believe that our existing cash and cash equivalents as of December 31, 2025, together with the $4.3 million of proceeds received by us pursuant to the securities purchase agreements we entered into in January 2026 and February 2026, will be sufficient to enable us to fund our planned operating expense and capital expenditure requirements into the second quarter of 2026. We have based this estimate on assumptions that may prove to be wrong, and we could exhaust our available capital resources sooner than we expect. As a result, we will need additional capital to fund our operations, which we may obtain from additional equity or debt financings, strategic collaborations, licensing arrangements or other sources. See the section titled “Risk Factors” found elsewhere in this Annual Report on Form 10-K for risks associated with our substantial capital requirements.</w:t>
      </w:r>
    </w:p>
    <w:p>
      <w:pPr>
        <w:spacing w:after="0" w:line="197"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The report of our independent registered accounting firm states that our significant losses, expectation to continue to incur operating losses and need to raise additional funds to meet our obligations and sustain our operations raise substantial doubt about our ability to continue as a going concern.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each of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85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9"/>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Borders>
              <w:top w:val="single" w:sz="8" w:color="auto"/>
              <w:bottom w:val="single" w:sz="8" w:color="auto"/>
            </w:tcBorders>
          </w:tcPr>
          <w:p>
            <w:pPr>
              <w:spacing w:after="0"/>
              <w:rPr>
                <w:sz w:val="16"/>
                <w:szCs w:val="16"/>
                <w:color w:val="auto"/>
              </w:rPr>
            </w:pPr>
          </w:p>
        </w:tc>
        <w:tc>
          <w:tcPr>
            <w:tcW w:w="1190" w:type="dxa"/>
            <w:vAlign w:val="bottom"/>
            <w:tcBorders>
              <w:top w:val="single" w:sz="8" w:color="auto"/>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r>
      <w:tr>
        <w:trPr>
          <w:trHeight w:val="177"/>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90" w:type="dxa"/>
            <w:vAlign w:val="bottom"/>
          </w:tcPr>
          <w:p>
            <w:pPr>
              <w:jc w:val="right"/>
              <w:ind w:right="87"/>
              <w:spacing w:after="0" w:line="177"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5"/>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Cash used in operating activities</w:t>
            </w:r>
          </w:p>
        </w:tc>
        <w:tc>
          <w:tcPr>
            <w:tcW w:w="20" w:type="dxa"/>
            <w:vAlign w:val="bottom"/>
            <w:shd w:val="clear" w:color="auto" w:fill="E7E7E7"/>
          </w:tcPr>
          <w:p>
            <w:pPr>
              <w:spacing w:after="0"/>
              <w:rPr>
                <w:sz w:val="21"/>
                <w:szCs w:val="21"/>
                <w:color w:val="auto"/>
              </w:rPr>
            </w:pPr>
          </w:p>
        </w:tc>
        <w:tc>
          <w:tcPr>
            <w:tcW w:w="11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19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(19,361</w:t>
            </w:r>
          </w:p>
        </w:tc>
        <w:tc>
          <w:tcPr>
            <w:tcW w:w="240" w:type="dxa"/>
            <w:vAlign w:val="bottom"/>
            <w:shd w:val="clear" w:color="auto" w:fill="E7E7E7"/>
          </w:tcPr>
          <w:p>
            <w:pPr>
              <w:jc w:val="right"/>
              <w:ind w:right="67"/>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20" w:type="dxa"/>
            <w:vAlign w:val="bottom"/>
            <w:shd w:val="clear" w:color="auto" w:fill="E7E7E7"/>
          </w:tcPr>
          <w:p>
            <w:pPr>
              <w:spacing w:after="0"/>
              <w:rPr>
                <w:sz w:val="21"/>
                <w:szCs w:val="21"/>
                <w:color w:val="auto"/>
              </w:rPr>
            </w:pPr>
          </w:p>
        </w:tc>
        <w:tc>
          <w:tcPr>
            <w:tcW w:w="420" w:type="dxa"/>
            <w:vAlign w:val="bottom"/>
            <w:shd w:val="clear" w:color="auto" w:fill="E7E7E7"/>
          </w:tcPr>
          <w:p>
            <w:pPr>
              <w:jc w:val="center"/>
              <w:ind w:right="220"/>
              <w:spacing w:after="0"/>
              <w:rPr>
                <w:sz w:val="20"/>
                <w:szCs w:val="20"/>
                <w:color w:val="auto"/>
              </w:rPr>
            </w:pPr>
            <w:r>
              <w:rPr>
                <w:rFonts w:ascii="Times New Roman" w:cs="Times New Roman" w:eastAsia="Times New Roman" w:hAnsi="Times New Roman"/>
                <w:sz w:val="20"/>
                <w:szCs w:val="20"/>
                <w:color w:val="auto"/>
                <w:w w:val="99"/>
                <w:shd w:val="clear" w:color="auto" w:fill="E7E7E7"/>
              </w:rPr>
              <w:t>$</w:t>
            </w:r>
          </w:p>
        </w:tc>
        <w:tc>
          <w:tcPr>
            <w:tcW w:w="9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(22,291</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44"/>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provided by investing activities</w:t>
            </w:r>
          </w:p>
        </w:tc>
        <w:tc>
          <w:tcPr>
            <w:tcW w:w="110" w:type="dxa"/>
            <w:vAlign w:val="bottom"/>
          </w:tcPr>
          <w:p>
            <w:pPr>
              <w:spacing w:after="0"/>
              <w:rPr>
                <w:sz w:val="21"/>
                <w:szCs w:val="21"/>
                <w:color w:val="auto"/>
              </w:rPr>
            </w:pPr>
          </w:p>
        </w:tc>
        <w:tc>
          <w:tcPr>
            <w:tcW w:w="145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Cash provided by financing activities</w:t>
            </w:r>
          </w:p>
        </w:tc>
        <w:tc>
          <w:tcPr>
            <w:tcW w:w="20" w:type="dxa"/>
            <w:vAlign w:val="bottom"/>
            <w:shd w:val="clear" w:color="auto" w:fill="E7E7E7"/>
          </w:tcPr>
          <w:p>
            <w:pPr>
              <w:spacing w:after="0"/>
              <w:rPr>
                <w:sz w:val="21"/>
                <w:szCs w:val="21"/>
                <w:color w:val="auto"/>
              </w:rPr>
            </w:pPr>
          </w:p>
        </w:tc>
        <w:tc>
          <w:tcPr>
            <w:tcW w:w="110" w:type="dxa"/>
            <w:vAlign w:val="bottom"/>
            <w:shd w:val="clear" w:color="auto" w:fill="E7E7E7"/>
          </w:tcPr>
          <w:p>
            <w:pPr>
              <w:spacing w:after="0"/>
              <w:rPr>
                <w:sz w:val="21"/>
                <w:szCs w:val="21"/>
                <w:color w:val="auto"/>
              </w:rPr>
            </w:pPr>
          </w:p>
        </w:tc>
        <w:tc>
          <w:tcPr>
            <w:tcW w:w="119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9,755</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420" w:type="dxa"/>
            <w:vAlign w:val="bottom"/>
            <w:shd w:val="clear" w:color="auto" w:fill="E7E7E7"/>
          </w:tcPr>
          <w:p>
            <w:pPr>
              <w:spacing w:after="0"/>
              <w:rPr>
                <w:sz w:val="21"/>
                <w:szCs w:val="21"/>
                <w:color w:val="auto"/>
              </w:rPr>
            </w:pPr>
          </w:p>
        </w:tc>
        <w:tc>
          <w:tcPr>
            <w:tcW w:w="9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17,818</w:t>
            </w:r>
          </w:p>
        </w:tc>
        <w:tc>
          <w:tcPr>
            <w:tcW w:w="80" w:type="dxa"/>
            <w:vAlign w:val="bottom"/>
            <w:shd w:val="clear" w:color="auto" w:fill="E7E7E7"/>
          </w:tcPr>
          <w:p>
            <w:pPr>
              <w:spacing w:after="0"/>
              <w:rPr>
                <w:sz w:val="21"/>
                <w:szCs w:val="21"/>
                <w:color w:val="auto"/>
              </w:rPr>
            </w:pPr>
          </w:p>
        </w:tc>
      </w:tr>
      <w:tr>
        <w:trPr>
          <w:trHeight w:val="245"/>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110" w:type="dxa"/>
            <w:vAlign w:val="bottom"/>
          </w:tcPr>
          <w:p>
            <w:pPr>
              <w:spacing w:after="0"/>
              <w:rPr>
                <w:sz w:val="21"/>
                <w:szCs w:val="21"/>
                <w:color w:val="auto"/>
              </w:rPr>
            </w:pPr>
          </w:p>
        </w:tc>
        <w:tc>
          <w:tcPr>
            <w:tcW w:w="1430" w:type="dxa"/>
            <w:vAlign w:val="bottom"/>
            <w:gridSpan w:val="2"/>
          </w:tcPr>
          <w:p>
            <w:pPr>
              <w:jc w:val="right"/>
              <w:ind w:right="67"/>
              <w:spacing w:after="0"/>
              <w:rPr>
                <w:sz w:val="20"/>
                <w:szCs w:val="20"/>
                <w:color w:val="auto"/>
              </w:rPr>
            </w:pPr>
            <w:r>
              <w:rPr>
                <w:rFonts w:ascii="Times New Roman" w:cs="Times New Roman" w:eastAsia="Times New Roman" w:hAnsi="Times New Roman"/>
                <w:sz w:val="20"/>
                <w:szCs w:val="20"/>
                <w:color w:val="auto"/>
              </w:rPr>
              <w:t>(44 )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6380" w:type="dxa"/>
            <w:vAlign w:val="bottom"/>
            <w:tcBorders>
              <w:top w:val="single" w:sz="8" w:color="E7E7E7"/>
            </w:tcBorders>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Net decrease in cash and cash equivalents</w:t>
            </w:r>
          </w:p>
        </w:tc>
        <w:tc>
          <w:tcPr>
            <w:tcW w:w="20" w:type="dxa"/>
            <w:vAlign w:val="bottom"/>
            <w:tcBorders>
              <w:top w:val="single" w:sz="8" w:color="E7E7E7"/>
              <w:bottom w:val="single" w:sz="8" w:color="auto"/>
            </w:tcBorders>
            <w:shd w:val="clear" w:color="auto" w:fill="E7E7E7"/>
          </w:tcPr>
          <w:p>
            <w:pPr>
              <w:spacing w:after="0"/>
              <w:rPr>
                <w:sz w:val="20"/>
                <w:szCs w:val="20"/>
                <w:color w:val="auto"/>
              </w:rPr>
            </w:pPr>
          </w:p>
        </w:tc>
        <w:tc>
          <w:tcPr>
            <w:tcW w:w="110" w:type="dxa"/>
            <w:vAlign w:val="bottom"/>
            <w:tcBorders>
              <w:top w:val="single" w:sz="8" w:color="auto"/>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190" w:type="dxa"/>
            <w:vAlign w:val="bottom"/>
            <w:tcBorders>
              <w:top w:val="single" w:sz="8" w:color="auto"/>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(9,650</w:t>
            </w:r>
          </w:p>
        </w:tc>
        <w:tc>
          <w:tcPr>
            <w:tcW w:w="240" w:type="dxa"/>
            <w:vAlign w:val="bottom"/>
            <w:tcBorders>
              <w:top w:val="single" w:sz="8" w:color="E7E7E7"/>
            </w:tcBorders>
            <w:shd w:val="clear" w:color="auto" w:fill="E7E7E7"/>
          </w:tcPr>
          <w:p>
            <w:pPr>
              <w:jc w:val="right"/>
              <w:ind w:right="67"/>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20" w:type="dxa"/>
            <w:vAlign w:val="bottom"/>
            <w:tcBorders>
              <w:top w:val="single" w:sz="8" w:color="E7E7E7"/>
              <w:bottom w:val="single" w:sz="8" w:color="auto"/>
            </w:tcBorders>
            <w:shd w:val="clear" w:color="auto" w:fill="E7E7E7"/>
          </w:tcPr>
          <w:p>
            <w:pPr>
              <w:spacing w:after="0"/>
              <w:rPr>
                <w:sz w:val="20"/>
                <w:szCs w:val="20"/>
                <w:color w:val="auto"/>
              </w:rPr>
            </w:pPr>
          </w:p>
        </w:tc>
        <w:tc>
          <w:tcPr>
            <w:tcW w:w="420" w:type="dxa"/>
            <w:vAlign w:val="bottom"/>
            <w:tcBorders>
              <w:top w:val="single" w:sz="8" w:color="auto"/>
              <w:bottom w:val="single" w:sz="8" w:color="auto"/>
            </w:tcBorders>
            <w:shd w:val="clear" w:color="auto" w:fill="E7E7E7"/>
          </w:tcPr>
          <w:p>
            <w:pPr>
              <w:jc w:val="center"/>
              <w:ind w:right="220"/>
              <w:spacing w:after="0"/>
              <w:rPr>
                <w:sz w:val="20"/>
                <w:szCs w:val="20"/>
                <w:color w:val="auto"/>
              </w:rPr>
            </w:pPr>
            <w:r>
              <w:rPr>
                <w:rFonts w:ascii="Times New Roman" w:cs="Times New Roman" w:eastAsia="Times New Roman" w:hAnsi="Times New Roman"/>
                <w:sz w:val="20"/>
                <w:szCs w:val="20"/>
                <w:color w:val="auto"/>
                <w:w w:val="99"/>
                <w:shd w:val="clear" w:color="auto" w:fill="E7E7E7"/>
              </w:rPr>
              <w:t>$</w:t>
            </w:r>
          </w:p>
        </w:tc>
        <w:tc>
          <w:tcPr>
            <w:tcW w:w="900" w:type="dxa"/>
            <w:vAlign w:val="bottom"/>
            <w:tcBorders>
              <w:top w:val="single" w:sz="8" w:color="auto"/>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(4,473</w:t>
            </w:r>
          </w:p>
        </w:tc>
        <w:tc>
          <w:tcPr>
            <w:tcW w:w="8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0"/>
        </w:trPr>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9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5"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During the year ended December 31, 2025, operating activities used $19.4 million of cash, primarily resulting from our net loss of $49.9 million and a change in operating assets and liabilities of $0.9 million, partially offset by non-cash charges of $31.4 million. Non-cash charges resulted primarily from impairment loss on intangible assets of $28.7 million and stock-based compensation expense of $2.2 million, commitment fee related to the PPA of $0.3 million and OID related to the PPA of $0.2 million. Changes in our operating assets and liabilities during the year ended December 31, 2025 consisted primarily of an increase of $0.3 million in prepaid expenses and other current assets, a decrease of $2.6 million in accrued expenses and other current liabilities, a decrease of $0.3 million in other long-term liabilities, and a decrease of $0.7 million in deferred tax liabilities, offset by an increase of $3.0 million in accounts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418" w:right="1440" w:bottom="177" w:gutter="0" w:footer="0" w:header="0"/>
        </w:sectPr>
      </w:pPr>
    </w:p>
    <w:bookmarkStart w:id="94" w:name="page95"/>
    <w:bookmarkEnd w:id="94"/>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operating activities used $22.3 million of cash, primarily resulting from our net loss of $62.9 million partially offset by a change in operating assets and liabilities of $2.4 million and non-cash charges of $38.2 million. Non-cash charges resulted primarily from impairment loss on intangible assets of $37.0 million and stock-based compensation expense of $1.1 million. Changes in our operating assets and liabilities during the year ended December 31, 2024 consisted primarily of a decrease of $2.2 million in other assets, and an increase of $1.7 million in accrued expenses and other current liabilities, offset by a decrease of $1.6 million in deferred tax liabilities due to the reduction in the carrying value of our intangible assets.</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6" w:lineRule="exact"/>
        <w:rPr>
          <w:sz w:val="20"/>
          <w:szCs w:val="20"/>
          <w:color w:val="auto"/>
        </w:rPr>
      </w:pPr>
    </w:p>
    <w:p>
      <w:pPr>
        <w:jc w:val="both"/>
        <w:ind w:firstLine="490"/>
        <w:spacing w:after="0" w:line="307" w:lineRule="auto"/>
        <w:rPr>
          <w:sz w:val="20"/>
          <w:szCs w:val="20"/>
          <w:color w:val="auto"/>
        </w:rPr>
      </w:pPr>
      <w:r>
        <w:rPr>
          <w:rFonts w:ascii="Times New Roman" w:cs="Times New Roman" w:eastAsia="Times New Roman" w:hAnsi="Times New Roman"/>
          <w:sz w:val="19"/>
          <w:szCs w:val="19"/>
          <w:color w:val="auto"/>
        </w:rPr>
        <w:t>During the year ended December 31, 2025, net cash provided by financing activities was $9.8 million primarily due to the April 2025 Transactions, Yorkville Transactions and “at the market” offering programs described above.</w:t>
      </w:r>
    </w:p>
    <w:p>
      <w:pPr>
        <w:spacing w:after="0" w:line="141"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During the year ended December 31, 2024, net cash provided by financing activities was $17.8 million primarily due to the Offering in May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and other obligations</w:t>
      </w:r>
    </w:p>
    <w:p>
      <w:pPr>
        <w:spacing w:after="0" w:line="121"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19"/>
          <w:szCs w:val="19"/>
          <w:color w:val="auto"/>
        </w:rPr>
        <w:t>We enter into contracts in the normal course of business with CROs for clinical and preclinical research studies, external manufacturers for product for use in our clinical trials, and other research supplies and other services as part of our operations. These contracts generally provide for termination on notice, and therefore are cancelable contracts.</w:t>
      </w:r>
    </w:p>
    <w:p>
      <w:pPr>
        <w:spacing w:after="0" w:line="45"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9"/>
          <w:szCs w:val="19"/>
          <w:color w:val="auto"/>
        </w:rPr>
        <w:t>In April 2025, we entered into a master services agreement with a third party CRO, under which the CRO has agreed to perform certain services in accordance with written work orders. The work orders set forth the obligations of the parties with regard to conducting the clinical research study entitled “A Randomized, Double-Blind, Placebo-Controlled, Phase 2, Safety, Tolerability and Efficacy Study of Caveolin1-Scaffolding-Protein-Derived Peptide (LTI-</w:t>
      </w:r>
    </w:p>
    <w:p>
      <w:pPr>
        <w:spacing w:after="0" w:line="4" w:lineRule="exact"/>
        <w:rPr>
          <w:sz w:val="20"/>
          <w:szCs w:val="20"/>
          <w:color w:val="auto"/>
        </w:rPr>
      </w:pPr>
    </w:p>
    <w:p>
      <w:pPr>
        <w:jc w:val="both"/>
        <w:spacing w:after="0" w:line="255" w:lineRule="auto"/>
        <w:tabs>
          <w:tab w:leader="none" w:pos="32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with IPF”, under our Protocol LTI-03-2001. Pursuant to the agreement, we had contracted for up to $17.0 million of master services. This master services agreement was terminated in August 2025 with no future commitment for the Company.</w:t>
      </w:r>
    </w:p>
    <w:p>
      <w:pPr>
        <w:spacing w:after="0" w:line="69"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In December 2025, we entered into a project addendum with a third party CRO for the purposes of setting forth the responsibilities and obligations of the parties in regards to conducting a certain clinical research program entitled “A Phase 2, Randomized, Double-Blind, Placebo-Controlled Study of the Safety, Tolerability and Efficacy of Caveolin-1-Scaffolding-Protein-Derived Peptide in Patients with IPF” under our Protocol LTI-03-2001. Pursuant to the project addendum, we had contracted for up to $19.8 million of master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237"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As part of the process of preparing our financial statements, we are required to estimate our accrued research and development expenses. This process involves reviewing open contract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Some of our service providers invoice us in arrears for services performed, on a pre-determined schedule or when contractual milestones are met; however, some require advanced payments. We make estimates of our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18" w:right="1440" w:bottom="177" w:gutter="0" w:footer="0" w:header="0"/>
        </w:sectPr>
      </w:pPr>
    </w:p>
    <w:bookmarkStart w:id="95" w:name="page96"/>
    <w:bookmarkEnd w:id="95"/>
    <w:p>
      <w:pPr>
        <w:spacing w:after="0" w:line="279" w:lineRule="auto"/>
        <w:rPr>
          <w:sz w:val="20"/>
          <w:szCs w:val="20"/>
          <w:color w:val="auto"/>
        </w:rPr>
      </w:pPr>
      <w:r>
        <w:rPr>
          <w:rFonts w:ascii="Times New Roman" w:cs="Times New Roman" w:eastAsia="Times New Roman" w:hAnsi="Times New Roman"/>
          <w:sz w:val="20"/>
          <w:szCs w:val="20"/>
          <w:color w:val="auto"/>
        </w:rPr>
        <w:t>expenses as of each balance sheet date in our financial statements based on facts and circumstances known to us at that time. Examples of estimated accrued research and development expenses include fees paid to:</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vendors in connection with preclinical and clinical development activities;</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contract research organizations, or CROs, in connection with performing research activities on our behalf and conducting preclinical studies and clinical trials on our behalf;</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investigative sites or other service providers in connection with clinical trials; and</w:t>
      </w:r>
    </w:p>
    <w:p>
      <w:pPr>
        <w:spacing w:after="0" w:line="133"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contract manufacturing organization, or CMOs, or other vendors in connection with the production of preclinical and clinical trial materials.</w:t>
      </w:r>
    </w:p>
    <w:p>
      <w:pPr>
        <w:spacing w:after="0" w:line="164"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base our expenses related to preclinical studies and clinical trials on our estimates of the services received and efforts expended pursuant to quotes and contracts with multiple CMOs and CROs that supply, conduct and manage clinical trials and preclinical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recording accrued or prepaid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w:t>
      </w:r>
    </w:p>
    <w:p>
      <w:pPr>
        <w:spacing w:after="0" w:line="201"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7"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 xml:space="preserve">We account for stock-based compensation awards in accordance with ASC Topic 718, </w:t>
      </w:r>
      <w:r>
        <w:rPr>
          <w:rFonts w:ascii="Times New Roman" w:cs="Times New Roman" w:eastAsia="Times New Roman" w:hAnsi="Times New Roman"/>
          <w:sz w:val="20"/>
          <w:szCs w:val="20"/>
          <w:i w:val="1"/>
          <w:iCs w:val="1"/>
          <w:color w:val="auto"/>
        </w:rPr>
        <w:t>Compensation—Stock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or ASC 718. ASC 718 requires all stock-based payments, including grants of stock options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stock, to be recognized in the statements of operations and comprehensive loss based on their fair values. We measure stock-based awards based on their fair value on the date of grant and recognize compensation expense for those awards over the requisite service period, which is generally the vesting period of the respective award. We apply the straight-line method of expense recognition to all awards with only service-based vesting conditions and apply the graded-vesting method to all awards with performance-based vesting conditions or to awards with both service-based and performance-based vesting conditions.</w:t>
      </w:r>
    </w:p>
    <w:p>
      <w:pPr>
        <w:spacing w:after="0" w:line="20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We estimate the fair value of each stock option grant at the date of grant using the Black-Scholes option pricing model and the fair value of each restricted common stock award is estimated on the date of grant based on the fair value of our common stock on that same date. The Black-Scholes option-pricing model requires inputs based on certain subjective assumptions including the volatility of our common stock, the expected term of our stock options, the risk-free interest rate for a period that approximates the expected term of our stock options and our expected dividend yield. Changes to these assumptions can materially affect the fair value of stock options and ultimately the amount of stock-based compensation expense recognized in our consolidated financial statements.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account for stock option forfeitures during the period in which they occur.</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Impairment on Indefinite-lived Intangible Assets</w:t>
      </w:r>
    </w:p>
    <w:p>
      <w:pPr>
        <w:spacing w:after="0" w:line="23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We review our intangible assets for impairment whenever events or changes in circumstances indicate that the carrying amount of an asset may not be recoverable. Indefinite-lived intangible assets, including goodwill, are tested for impairment at least annually. The fair value of reporting unit was determined using the income approach with a reconciliation to market capitalization. The fair value of intangible assets was determined using multi-period excess earning method and using Level 3 inputs, which included estimates of forecasted cash flows for each candidate.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18" w:right="1440" w:bottom="177" w:gutter="0" w:footer="0" w:header="0"/>
        </w:sectPr>
      </w:pPr>
    </w:p>
    <w:bookmarkStart w:id="96" w:name="page97"/>
    <w:bookmarkEnd w:id="96"/>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Impairment is assessed by comparing the carrying value of the asset to its recoverable amount, which is determined as the higher of its fair value less costs to sell and its value in use. The value in use is estimated based on discounted future cash flows derived from assumptions regarding revenue growth, operating margins, discount rates, and market conditions. These estimates require significant management judgment and are subject to inherent uncertainties.</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Key assumptions used in impairment testing include: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Projected cash flows: Based on market analysis and business forecasts.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Discount rate: Reflecting the risk-adjusted cost of capital applicable to the asset or cash-generating unit.</w:t>
      </w:r>
    </w:p>
    <w:p>
      <w:pPr>
        <w:spacing w:after="0" w:line="13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Growth rate: Used for terminal value calculations, based on long-term industry outlook and economic conditions.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Market conditions: Including competitive landscape, industry trends, and macroeconomic factors.</w:t>
      </w:r>
    </w:p>
    <w:p>
      <w:pPr>
        <w:spacing w:after="0" w:line="24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Changes in these assumptions, particularly in discount rates or expected future cash flows, could result in significant adjustments to the impairment calculation and may lead to impairment losses recognized in the financial statements.</w:t>
      </w:r>
    </w:p>
    <w:p>
      <w:pPr>
        <w:spacing w:after="0" w:line="185"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During the years ended December 31, 2025 and 2024, we conducted an impairment assessment and determined that an impairment loss of $28.7 million and $37.0 million, respectively, was recognized for our LTI-01 intangible asset and other preclinical programs. In the fourth quarter of 2024, we determined that the temporary delay of further clinical development of LTI-01 may not be a short-term measure. In the fourth quarter of 2025, we decided to pause development activities related to LTI-01 and other preclinical programs for an indefinite period. The timing and likelihood of resuming development are uncertain and contingent on our ability to obtain additional financing and the future success of LTI-03. Therefore, the carrying value of the LTI-01 asset and other preclinical programs was fully written off as of December 31, 2025. There were no impairment losses recognized for our LTI-03 asset or goodwill during the years ended December 31, 2025 and 2024.</w:t>
      </w:r>
    </w:p>
    <w:p>
      <w:pPr>
        <w:spacing w:after="0" w:line="204"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Management continues to monitor these estimates and will adjust them as necessary to reflect changing economic conditions and business performance.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7"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We account for income taxes using the asset and liability method, which requires the recognition of deferred tax assets and liabilities for the expected future tax consequences of events that have been recognized in the financial statements or in our tax returns. Deferred taxes are determined based on the difference between the financial statement and tax basis of assets and liabilities using enacted tax rates in effect in the years in which the differences are expected to reverse.</w:t>
      </w:r>
    </w:p>
    <w:p>
      <w:pPr>
        <w:spacing w:after="0" w:line="193"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We assess the likelihood that our deferred tax assets will be recovered from future taxable income and, to the extent we believe, based upon the weight of available evidence, that it is more likely than not that all or a portion of the deferred tax assets will not be realized, a valuation allowance is established through a charge to income tax expense. Changes in valuation allowances from period to period are included in our tax provision in the period of change. Potential for recovery of deferred tax assets is evaluated by estimating the future taxable profits expected and considering prudent and feasible tax planning strategies.</w:t>
      </w:r>
    </w:p>
    <w:p>
      <w:pPr>
        <w:spacing w:after="0" w:line="20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We account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418" w:right="1440" w:bottom="177" w:gutter="0" w:footer="0" w:header="0"/>
        </w:sectPr>
      </w:pPr>
    </w:p>
    <w:bookmarkStart w:id="97" w:name="page98"/>
    <w:bookmarkEnd w:id="97"/>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recognition and measurement of tax benefits requires significant judgment, especially in assessing uncertain tax positions. Judgments concerning the recognition and measurement of our tax benefits, as well as limitations surrounding their realizability, might change as new information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Global and Macroeconomic Developments</w:t>
      </w:r>
    </w:p>
    <w:p>
      <w:pPr>
        <w:spacing w:after="0" w:line="24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are subject to continuing risks and uncertainties in connection with legislative, regulatory, political, geopolitical and macroeconomic developments beyond our control, including inflationary pressures, general economic slowdown or a recession, high interest rates, changes in monetary policy or foreign currency exchange rates, changes in trade policies, including tariffs and other trade restrictions or the threat of such actions, instability in financial institutions, the ongoing conflicts in Ukraine and in the Middle East. Most of these developments and factors are outside of our control and could exist for an extended period of time. We will continue to evaluate the nature and extent of the potential impacts to our business, results of operations, liquidity and capital resources. For additional information, see the section titled “Risk Factors” found elsewhere in this Annual Report on Form 10-K for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Smaller Reporting Company Status</w:t>
      </w:r>
    </w:p>
    <w:p>
      <w:pPr>
        <w:spacing w:after="0" w:line="24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We are a “smaller reporting company” as defined in Rule 12b-2 under the Securities Exchange Act of 1934, as amended, or the Exchange Act.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For so long as we continue to be a smaller reporting company, we may continue to rely on exemptions from certain disclosure requirements that are available to smaller reporting companies.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41"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We have reviewed all recently issued standards and have determined that, other than as disclosed in Note 2 to our consolidated financial statements appearing at the end of this Annual Report on Form 10 -K, such standards will not have a material impact on our consolidated financial statements or do not otherwise apply to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2"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We are a smaller reporting company, as defined in Rule 12b-2 under the Exchange Act for this reporting period and are not required to provide the information required under this item.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consolidated financial statements required to be filed pursuant to this Item 8 are appended to this Annual Report on Form 10-K. An index of those consolidated financial statements is found in Item 15 of Part IV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Effectiveness of Controls and Procedures</w:t>
      </w:r>
    </w:p>
    <w:p>
      <w:pPr>
        <w:spacing w:after="0" w:line="241"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1418" w:right="1440" w:bottom="177" w:gutter="0" w:footer="0" w:header="0"/>
        </w:sectPr>
      </w:pPr>
    </w:p>
    <w:bookmarkStart w:id="98" w:name="page99"/>
    <w:bookmarkEnd w:id="98"/>
    <w:p>
      <w:pPr>
        <w:jc w:val="both"/>
        <w:spacing w:after="0" w:line="259" w:lineRule="auto"/>
        <w:rPr>
          <w:sz w:val="20"/>
          <w:szCs w:val="20"/>
          <w:color w:val="auto"/>
        </w:rPr>
      </w:pPr>
      <w:r>
        <w:rPr>
          <w:rFonts w:ascii="Times New Roman" w:cs="Times New Roman" w:eastAsia="Times New Roman" w:hAnsi="Times New Roman"/>
          <w:sz w:val="20"/>
          <w:szCs w:val="20"/>
          <w:color w:val="auto"/>
        </w:rPr>
        <w:t>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8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interim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our interim Chief Financial Officer concluded that our disclosure controls and procedures were not effective at the reasonable assurance level as of December 31, 2025, because of the identified material weaknesses in our internal control over financial reporting described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34"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57"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or disposition of the company’s assets that could have a material effect on the financial statements.</w:t>
      </w:r>
    </w:p>
    <w:p>
      <w:pPr>
        <w:spacing w:after="0" w:line="232"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Management conducted an evaluation of the effectiveness of our internal control over financial reporting based on the Internal Control-Integrated Framework (2013) issued by the Committee of Sponsoring Organizations of the Treadway Commission. Based on this evaluation, management concluded that our internal control over financial reporting was not effective as of December 31, 2025 as a result of the material weaknesses discussed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Weaknesses</w:t>
      </w:r>
    </w:p>
    <w:p>
      <w:pPr>
        <w:spacing w:after="0" w:line="242"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We identified material weaknesses in our internal control over financial reporting. A material weakness is a deficiency, or combination of deficiencies, in internal control over financial reporting such that there is a possibility that a material misstatement of our financial statements will not be prevented or detected on a timely basis. We identified the following material weaknesses in internal control over financial reporting: (i) lack of sufficient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418" w:right="1440" w:bottom="177" w:gutter="0" w:footer="0" w:header="0"/>
        </w:sectPr>
      </w:pPr>
    </w:p>
    <w:bookmarkStart w:id="99" w:name="page100"/>
    <w:bookmarkEnd w:id="99"/>
    <w:p>
      <w:pPr>
        <w:jc w:val="both"/>
        <w:spacing w:after="0" w:line="259" w:lineRule="auto"/>
        <w:rPr>
          <w:sz w:val="20"/>
          <w:szCs w:val="20"/>
          <w:color w:val="auto"/>
        </w:rPr>
      </w:pPr>
      <w:r>
        <w:rPr>
          <w:rFonts w:ascii="Times New Roman" w:cs="Times New Roman" w:eastAsia="Times New Roman" w:hAnsi="Times New Roman"/>
          <w:sz w:val="20"/>
          <w:szCs w:val="20"/>
          <w:color w:val="auto"/>
        </w:rPr>
        <w:t>accounting and supervisory personnel who have the appropriate level of technical accounting experience and training, and (ii) lack of adequate procedures and controls to ensure that accurate financial statements could have been prepared and reviewed on a timely basis for annual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Plan to Remediate the Material Weaknesses</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below are actions that we have taken to date to remediate the above-mentioned material weaknesses:</w:t>
      </w:r>
    </w:p>
    <w:p>
      <w:pPr>
        <w:spacing w:after="0" w:line="135"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Enhanced the execution of our risk assessment activities by evaluating whether the design of our internal controls appropriately addresses changes in the business (including changes to people, processes and systems) that could impact our system of internal controls.</w:t>
      </w:r>
    </w:p>
    <w:p>
      <w:pPr>
        <w:spacing w:after="0" w:line="7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Completed the integration of the acquired systems from the Lung Acquisition into our financial and accounting systems to allow for systematic segregation of duties, and to enhance the accurate and timely preparation and review of financial statements and supporting schedules.</w:t>
      </w:r>
    </w:p>
    <w:p>
      <w:pPr>
        <w:spacing w:after="0" w:line="7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Engaged a third-party to assist in assessing the design and implementation of controls and develop remediation plans for identified control gaps related to our timely preparation and review of account reconciliations, financial statements and supporting schedules.</w:t>
      </w:r>
    </w:p>
    <w:p>
      <w:pPr>
        <w:spacing w:after="0" w:line="79"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Reported regularly to the audit committee on the progress and results of the remediation plan, including the identification, status and resolution of internal control deficiencies.</w:t>
      </w:r>
    </w:p>
    <w:p>
      <w:pPr>
        <w:spacing w:after="0" w:line="59" w:lineRule="exact"/>
        <w:rPr>
          <w:sz w:val="20"/>
          <w:szCs w:val="20"/>
          <w:color w:val="auto"/>
        </w:rPr>
      </w:pPr>
    </w:p>
    <w:p>
      <w:pPr>
        <w:ind w:left="980"/>
        <w:spacing w:after="0" w:line="260" w:lineRule="auto"/>
        <w:rPr>
          <w:sz w:val="20"/>
          <w:szCs w:val="20"/>
          <w:color w:val="auto"/>
        </w:rPr>
      </w:pPr>
      <w:r>
        <w:rPr>
          <w:rFonts w:ascii="Times New Roman" w:cs="Times New Roman" w:eastAsia="Times New Roman" w:hAnsi="Times New Roman"/>
          <w:sz w:val="20"/>
          <w:szCs w:val="20"/>
          <w:color w:val="auto"/>
        </w:rPr>
        <w:t>Continued to reassess staffing and add additional resources, as required, with the requisite technical accounting experience and training, to further allow for segregation of duties and to support our system of internal control.</w:t>
      </w:r>
    </w:p>
    <w:p>
      <w:pPr>
        <w:spacing w:after="0" w:line="18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In addition to implementing and executing the aforementioned activities, the following activities are expected to be completed in fiscal year 2026:</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Implement remediation plans for identified control design and implementation gaps.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Continue to act upon the enhancements to our internal controls that we implemented in 2025.</w:t>
      </w:r>
    </w:p>
    <w:p>
      <w:pPr>
        <w:spacing w:after="0" w:line="174" w:lineRule="exact"/>
        <w:rPr>
          <w:sz w:val="20"/>
          <w:szCs w:val="20"/>
          <w:color w:val="auto"/>
        </w:rPr>
      </w:pPr>
    </w:p>
    <w:p>
      <w:pPr>
        <w:ind w:left="980"/>
        <w:spacing w:after="0" w:line="279" w:lineRule="auto"/>
        <w:rPr>
          <w:sz w:val="20"/>
          <w:szCs w:val="20"/>
          <w:color w:val="auto"/>
        </w:rPr>
      </w:pPr>
      <w:r>
        <w:rPr>
          <w:rFonts w:ascii="Times New Roman" w:cs="Times New Roman" w:eastAsia="Times New Roman" w:hAnsi="Times New Roman"/>
          <w:sz w:val="20"/>
          <w:szCs w:val="20"/>
          <w:color w:val="auto"/>
        </w:rPr>
        <w:t>Perform testing of operating effectiveness of identified controls over financial reporting including IT General Controls.</w:t>
      </w:r>
    </w:p>
    <w:p>
      <w:pPr>
        <w:spacing w:after="0" w:line="5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As needed, we will also supplement our internal resources with additional third-party resources to enhance our corporate oversight and monitoring over process-level controls and structures to ensure that there is appropriate assignment of authority, responsibility, and accountability.</w:t>
      </w:r>
    </w:p>
    <w:p>
      <w:pPr>
        <w:spacing w:after="0" w:line="185"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Management believes that the remediation measures described above will be implemented in a manner such that the controls can be tested, and the identified material weaknesses can be determined to be remediated, however, no assurance can be made that such remediation will occur or that additional material weaknesses will not be identified.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1"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auto"/>
        </w:rPr>
        <w:t>In connection with our December 31, 2024 10-K, a material weakness in our internal control over financial reporting was identified relating to segregation of duties within our financial accounting system and lack of reviews of account reconciliation and supporting schedules. Management implemented measures designed to ensure that the control deficiencies related to the material weaknesses were remediated, such that the controls are designed, implemented and operating effectively. The remediation actions included hiring of additional accounting personnel which allowed for proper segregation of duties within the financial accounting system and the implementation of internal controls related to the account reconciliation process. Other than the changes to remediate the material weaknesses and the related ongoing remediation activities described above, no change in our internal control over financial reporting (as defined in Rules 13a-15(f) and 15d-15(f) under the Exchange Act) has occurred during the year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1418" w:right="1440" w:bottom="177" w:gutter="0" w:footer="0" w:header="0"/>
        </w:sectPr>
      </w:pPr>
    </w:p>
    <w:bookmarkStart w:id="100" w:name="page101"/>
    <w:bookmarkEnd w:id="100"/>
    <w:p>
      <w:pPr>
        <w:spacing w:after="0" w:line="279" w:lineRule="auto"/>
        <w:rPr>
          <w:sz w:val="20"/>
          <w:szCs w:val="20"/>
          <w:color w:val="auto"/>
        </w:rPr>
      </w:pPr>
      <w:r>
        <w:rPr>
          <w:rFonts w:ascii="Times New Roman" w:cs="Times New Roman" w:eastAsia="Times New Roman" w:hAnsi="Times New Roman"/>
          <w:sz w:val="20"/>
          <w:szCs w:val="20"/>
          <w:color w:val="auto"/>
        </w:rPr>
        <w:t>ended December 31, 2025 that has materially affected, or is reasonably likely to materially affect, our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Rule 10b5-1 Trading Plans</w:t>
      </w:r>
    </w:p>
    <w:p>
      <w:pPr>
        <w:spacing w:after="0" w:line="235" w:lineRule="exact"/>
        <w:rPr>
          <w:sz w:val="20"/>
          <w:szCs w:val="20"/>
          <w:color w:val="auto"/>
        </w:rPr>
      </w:pPr>
    </w:p>
    <w:p>
      <w:pPr>
        <w:ind w:firstLine="490"/>
        <w:spacing w:after="0" w:line="307" w:lineRule="auto"/>
        <w:rPr>
          <w:sz w:val="20"/>
          <w:szCs w:val="20"/>
          <w:color w:val="auto"/>
        </w:rPr>
      </w:pPr>
      <w:r>
        <w:rPr>
          <w:rFonts w:ascii="Times New Roman" w:cs="Times New Roman" w:eastAsia="Times New Roman" w:hAnsi="Times New Roman"/>
          <w:sz w:val="19"/>
          <w:szCs w:val="19"/>
          <w:color w:val="auto"/>
        </w:rPr>
        <w:t>During the fourth quarter of 2025, none of our directors or officers adopted or terminated a Rule 10b5-1 trading arrangement or non-Rule 10b5-1 trading arrangement, as each term is defined in Item 408(a) of Regulation 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1418" w:right="1440" w:bottom="177" w:gutter="0" w:footer="0" w:header="0"/>
        </w:sectPr>
      </w:pPr>
    </w:p>
    <w:bookmarkStart w:id="101" w:name="page102"/>
    <w:bookmarkEnd w:id="101"/>
    <w:p>
      <w:pPr>
        <w:ind w:left="42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information required by this Item 10 will be included in our definitive proxy statement to be filed with the Securities and Exchange Commission, or the SEC, with respect to our 2026 Annual Meeting of Stockholders, which is expected to be filed no later than 120 days after the end of our last fiscal year ended December 31, 2025 and is incorporated herein by reference.</w:t>
      </w:r>
    </w:p>
    <w:p>
      <w:pPr>
        <w:spacing w:after="0" w:line="191"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our officers, including our principal executive, financial and accounting officers, and our directors and employees. We have posted the text of our Code of Business Conduct and Ethics under the “Investors &amp; Media — Governance” section of our website, www.reintx.com. We intend to disclose on our website any amendments to, or waivers from, the Code of Business Conduct and Ethics that are required to be disclosed pursuant to the disclosure requirements of Item 5.05 of Form 8-K.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our definitive proxy statement to be filed with the SEC with respect to our 2026 Annual Meeting of Stockholders, which is expected to be filed no later than 120 days after the end of our last fiscal year ended December 31, 2025 and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254"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our definitive proxy statement to be filed with the SEC with respect to our 2026 Annual Meeting of Stockholders, which is expected to be filed no later than 120 days after the end of our last fiscal year ended December 31, 2025 and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1"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our definitive proxy statement to be filed with the SEC with respect to our 2026 Annual Meeting of Stockholders, which is expected to be filed no later than 120 days after the end of our last fiscal year ended December 31, 2025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our definitive proxy statement to be filed with the SEC with respect to our 2026 Annual Meeting of Stockholders, which is expected to be filed no later than 120 days after the end of our last fiscal year ended December 31, 2025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1416" w:right="1440" w:bottom="177"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documents are filed as part of this Report:</w:t>
      </w:r>
    </w:p>
    <w:p>
      <w:pPr>
        <w:spacing w:after="0" w:line="242" w:lineRule="exact"/>
        <w:rPr>
          <w:sz w:val="20"/>
          <w:szCs w:val="20"/>
          <w:color w:val="auto"/>
        </w:rPr>
      </w:pPr>
    </w:p>
    <w:p>
      <w:pPr>
        <w:ind w:left="480" w:hanging="480"/>
        <w:spacing w:after="0" w:line="279" w:lineRule="auto"/>
        <w:tabs>
          <w:tab w:leader="none" w:pos="4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The following documents are included on pages F6-F38 attached hereto and are filed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 of this Annual Report on Form 10-K:</w:t>
      </w:r>
    </w:p>
    <w:p>
      <w:pPr>
        <w:spacing w:after="0" w:line="164" w:lineRule="exact"/>
        <w:rPr>
          <w:rFonts w:ascii="Times New Roman" w:cs="Times New Roman" w:eastAsia="Times New Roman" w:hAnsi="Times New Roman"/>
          <w:sz w:val="20"/>
          <w:szCs w:val="20"/>
          <w:color w:val="auto"/>
        </w:rPr>
      </w:pPr>
    </w:p>
    <w:p>
      <w:pPr>
        <w:ind w:left="480" w:hanging="480"/>
        <w:spacing w:after="0" w:line="280" w:lineRule="auto"/>
        <w:tabs>
          <w:tab w:leader="none" w:pos="4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r>
        <w:rPr>
          <w:rFonts w:ascii="Times New Roman" w:cs="Times New Roman" w:eastAsia="Times New Roman" w:hAnsi="Times New Roman"/>
          <w:sz w:val="20"/>
          <w:szCs w:val="20"/>
          <w:color w:val="auto"/>
        </w:rPr>
        <w:t>. Schedules have been omitted since they are either not required or not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the information is otherwise included herein.</w:t>
      </w:r>
    </w:p>
    <w:p>
      <w:pPr>
        <w:spacing w:after="0" w:line="162" w:lineRule="exact"/>
        <w:rPr>
          <w:rFonts w:ascii="Times New Roman" w:cs="Times New Roman" w:eastAsia="Times New Roman" w:hAnsi="Times New Roman"/>
          <w:sz w:val="20"/>
          <w:szCs w:val="20"/>
          <w:color w:val="auto"/>
        </w:rPr>
      </w:pPr>
    </w:p>
    <w:p>
      <w:pPr>
        <w:ind w:left="480" w:hanging="480"/>
        <w:spacing w:after="0" w:line="280" w:lineRule="auto"/>
        <w:tabs>
          <w:tab w:leader="none" w:pos="4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 The exhibits filed as part of this Annual Report on Form 10-K are set forth on the Exhibit Index below.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Exhibit Index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10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60"/>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47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of Filing</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56"/>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Agreement and Plan of Merger, dated October 31, 2023,</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10/31/2023</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by and among Aileron Therapeutics, Inc., AT Merger Sub</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I, Inc., AT Merger Sub II, LLC and Lung Therapeutics,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Inc.</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Restated Certificate of Incorporation of the Registrant, as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8/11/2021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amended</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Certificate of Amendment of Restated Certificate 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11/10/2022</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Incorporation of the Registrant, dated as of November 10,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B1B1B"/>
              </w:rPr>
              <w:t>2022</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3.3</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Certificate of Amendment of Restated Certificate 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4/15/2024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Incorporation of the Registrant, dated as of February, 29,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B1B1B"/>
              </w:rPr>
              <w:t>2024</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3.4</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Certificate of Amendment of Restated Certificate 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1/10/2025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Incorporation of the Registrant, dated as of January 10,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B1B1B"/>
              </w:rPr>
              <w:t>2025</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7"/>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3.5</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Amended and Restated By-laws of the Registrant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1/10/2025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Specimen stock certificate evidencing shares of common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6/19/2017</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stock</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7"/>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Description of Securities of the Registrant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4/15/2024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Certificate of Designation of Series X Non-Voting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10/31/2023</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Convertible Preferred Stock</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Form of Warrant to Purchase Common Stock issued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10/31/2023</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pursuant to the Stock and Warrant Purchase Agreement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8"/>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1B1B1B"/>
              </w:rPr>
              <w:t>2016 Stock Incentive Plan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6/2/2017</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0"/>
        </w:trPr>
        <w:tc>
          <w:tcPr>
            <w:tcW w:w="840" w:type="dxa"/>
            <w:vAlign w:val="bottom"/>
          </w:tcPr>
          <w:p>
            <w:pPr>
              <w:spacing w:after="0"/>
              <w:rPr>
                <w:sz w:val="24"/>
                <w:szCs w:val="24"/>
                <w:color w:val="auto"/>
              </w:rPr>
            </w:pPr>
          </w:p>
        </w:tc>
        <w:tc>
          <w:tcPr>
            <w:tcW w:w="4860" w:type="dxa"/>
            <w:vAlign w:val="bottom"/>
            <w:gridSpan w:val="2"/>
          </w:tcPr>
          <w:p>
            <w:pPr>
              <w:jc w:val="right"/>
              <w:ind w:right="761"/>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416" w:right="1440" w:bottom="139" w:gutter="0" w:footer="0" w:header="0"/>
        </w:sectPr>
      </w:pPr>
    </w:p>
    <w:bookmarkStart w:id="103" w:name="page104"/>
    <w:bookmarkEnd w:id="103"/>
    <w:p>
      <w:pPr>
        <w:spacing w:after="0" w:line="147" w:lineRule="exact"/>
        <w:rPr>
          <w:sz w:val="20"/>
          <w:szCs w:val="20"/>
          <w:color w:val="auto"/>
        </w:rPr>
      </w:pPr>
    </w:p>
    <w:p>
      <w:pPr>
        <w:ind w:left="940" w:right="260" w:hanging="738"/>
        <w:spacing w:after="0" w:line="279" w:lineRule="auto"/>
        <w:tabs>
          <w:tab w:leader="none" w:pos="920" w:val="left"/>
        </w:tabs>
        <w:rPr>
          <w:sz w:val="20"/>
          <w:szCs w:val="20"/>
          <w:color w:val="auto"/>
        </w:rPr>
      </w:pPr>
      <w:r>
        <w:rPr>
          <w:rFonts w:ascii="Times New Roman" w:cs="Times New Roman" w:eastAsia="Times New Roman" w:hAnsi="Times New Roman"/>
          <w:sz w:val="20"/>
          <w:szCs w:val="20"/>
          <w:color w:val="auto"/>
        </w:rPr>
        <w:t>10.2*</w:t>
      </w:r>
      <w:r>
        <w:rPr>
          <w:rFonts w:ascii="Times New Roman" w:cs="Times New Roman" w:eastAsia="Times New Roman" w:hAnsi="Times New Roman"/>
          <w:sz w:val="20"/>
          <w:szCs w:val="20"/>
          <w:color w:val="1B1B1B"/>
        </w:rPr>
        <w:tab/>
        <w:t>Form of Incentive Stock Option Agreement under 2016 Stock Incentive Plan</w:t>
      </w:r>
    </w:p>
    <w:p>
      <w:pPr>
        <w:spacing w:after="0" w:line="93"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color w:val="1B1B1B"/>
        </w:rPr>
        <w:t>Form of Nonstatutory Stock Option Agreement under</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1B1B1B"/>
        </w:rPr>
        <w:t>2016 Stock Incentive Plan</w:t>
      </w:r>
    </w:p>
    <w:p>
      <w:pPr>
        <w:spacing w:after="0" w:line="159"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1B1B1B"/>
        </w:rPr>
        <w:t>2017 Stock Incentive Plan</w:t>
      </w:r>
    </w:p>
    <w:p>
      <w:pPr>
        <w:spacing w:after="0" w:line="168" w:lineRule="exact"/>
        <w:rPr>
          <w:sz w:val="20"/>
          <w:szCs w:val="20"/>
          <w:color w:val="auto"/>
        </w:rPr>
      </w:pPr>
    </w:p>
    <w:p>
      <w:pPr>
        <w:ind w:left="940" w:right="260" w:hanging="738"/>
        <w:spacing w:after="0" w:line="280" w:lineRule="auto"/>
        <w:tabs>
          <w:tab w:leader="none" w:pos="920" w:val="left"/>
        </w:tabs>
        <w:rPr>
          <w:sz w:val="20"/>
          <w:szCs w:val="20"/>
          <w:color w:val="auto"/>
        </w:rPr>
      </w:pPr>
      <w:r>
        <w:rPr>
          <w:rFonts w:ascii="Times New Roman" w:cs="Times New Roman" w:eastAsia="Times New Roman" w:hAnsi="Times New Roman"/>
          <w:sz w:val="20"/>
          <w:szCs w:val="20"/>
          <w:color w:val="auto"/>
        </w:rPr>
        <w:t>10.5*</w:t>
      </w:r>
      <w:r>
        <w:rPr>
          <w:rFonts w:ascii="Times New Roman" w:cs="Times New Roman" w:eastAsia="Times New Roman" w:hAnsi="Times New Roman"/>
          <w:sz w:val="20"/>
          <w:szCs w:val="20"/>
          <w:color w:val="1B1B1B"/>
        </w:rPr>
        <w:tab/>
        <w:t>Form of Incentive Stock Option Agreement under 2017 Stock Incentive Plan</w:t>
      </w:r>
    </w:p>
    <w:p>
      <w:pPr>
        <w:spacing w:after="0" w:line="91"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color w:val="1B1B1B"/>
        </w:rPr>
        <w:t>Form of Nonstatutory Stock Option Agreement under</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1B1B1B"/>
        </w:rPr>
        <w:t>2017 Stock Incentive Plan</w:t>
      </w:r>
    </w:p>
    <w:p>
      <w:pPr>
        <w:spacing w:after="0" w:line="159"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color w:val="1B1B1B"/>
        </w:rPr>
        <w:t>2017 Employee Stock Purchase Plan</w:t>
      </w:r>
    </w:p>
    <w:p>
      <w:pPr>
        <w:spacing w:after="0" w:line="168" w:lineRule="exact"/>
        <w:rPr>
          <w:sz w:val="20"/>
          <w:szCs w:val="20"/>
          <w:color w:val="auto"/>
        </w:rPr>
      </w:pPr>
    </w:p>
    <w:p>
      <w:pPr>
        <w:ind w:left="940" w:right="180" w:hanging="738"/>
        <w:spacing w:after="0" w:line="280" w:lineRule="auto"/>
        <w:tabs>
          <w:tab w:leader="none" w:pos="920" w:val="left"/>
        </w:tabs>
        <w:rPr>
          <w:sz w:val="20"/>
          <w:szCs w:val="20"/>
          <w:color w:val="auto"/>
        </w:rPr>
      </w:pPr>
      <w:r>
        <w:rPr>
          <w:rFonts w:ascii="Times New Roman" w:cs="Times New Roman" w:eastAsia="Times New Roman" w:hAnsi="Times New Roman"/>
          <w:sz w:val="20"/>
          <w:szCs w:val="20"/>
          <w:color w:val="auto"/>
        </w:rPr>
        <w:t>10.8*</w:t>
      </w:r>
      <w:r>
        <w:rPr>
          <w:rFonts w:ascii="Times New Roman" w:cs="Times New Roman" w:eastAsia="Times New Roman" w:hAnsi="Times New Roman"/>
          <w:sz w:val="20"/>
          <w:szCs w:val="20"/>
          <w:color w:val="1B1B1B"/>
        </w:rPr>
        <w:tab/>
        <w:t>Aileron Therapeutics, Inc. 2021 Stock Incentive Plan, as amended</w:t>
      </w:r>
    </w:p>
    <w:p>
      <w:pPr>
        <w:spacing w:after="0" w:line="91" w:lineRule="exact"/>
        <w:rPr>
          <w:sz w:val="20"/>
          <w:szCs w:val="20"/>
          <w:color w:val="auto"/>
        </w:rPr>
      </w:pPr>
    </w:p>
    <w:p>
      <w:pPr>
        <w:ind w:left="940" w:right="540" w:hanging="738"/>
        <w:spacing w:after="0" w:line="280" w:lineRule="auto"/>
        <w:tabs>
          <w:tab w:leader="none" w:pos="920" w:val="left"/>
        </w:tabs>
        <w:rPr>
          <w:sz w:val="20"/>
          <w:szCs w:val="20"/>
          <w:color w:val="auto"/>
        </w:rPr>
      </w:pPr>
      <w:r>
        <w:rPr>
          <w:rFonts w:ascii="Times New Roman" w:cs="Times New Roman" w:eastAsia="Times New Roman" w:hAnsi="Times New Roman"/>
          <w:sz w:val="20"/>
          <w:szCs w:val="20"/>
          <w:color w:val="auto"/>
        </w:rPr>
        <w:t>10.9*</w:t>
      </w:r>
      <w:r>
        <w:rPr>
          <w:rFonts w:ascii="Times New Roman" w:cs="Times New Roman" w:eastAsia="Times New Roman" w:hAnsi="Times New Roman"/>
          <w:sz w:val="20"/>
          <w:szCs w:val="20"/>
          <w:color w:val="1B1B1B"/>
        </w:rPr>
        <w:tab/>
        <w:t>Form of Stock Option Agreement under 2021 Stock Incentive Plan</w:t>
      </w:r>
    </w:p>
    <w:p>
      <w:pPr>
        <w:spacing w:after="0" w:line="92" w:lineRule="exact"/>
        <w:rPr>
          <w:sz w:val="20"/>
          <w:szCs w:val="20"/>
          <w:color w:val="auto"/>
        </w:rPr>
      </w:pPr>
    </w:p>
    <w:p>
      <w:pPr>
        <w:ind w:left="940" w:right="380" w:hanging="789"/>
        <w:spacing w:after="0" w:line="279" w:lineRule="auto"/>
        <w:tabs>
          <w:tab w:leader="none" w:pos="920" w:val="left"/>
        </w:tabs>
        <w:rPr>
          <w:sz w:val="20"/>
          <w:szCs w:val="20"/>
          <w:color w:val="auto"/>
        </w:rPr>
      </w:pPr>
      <w:r>
        <w:rPr>
          <w:rFonts w:ascii="Times New Roman" w:cs="Times New Roman" w:eastAsia="Times New Roman" w:hAnsi="Times New Roman"/>
          <w:sz w:val="20"/>
          <w:szCs w:val="20"/>
          <w:color w:val="auto"/>
        </w:rPr>
        <w:t>10.10*</w:t>
      </w:r>
      <w:r>
        <w:rPr>
          <w:rFonts w:ascii="Times New Roman" w:cs="Times New Roman" w:eastAsia="Times New Roman" w:hAnsi="Times New Roman"/>
          <w:sz w:val="20"/>
          <w:szCs w:val="20"/>
          <w:color w:val="1B1B1B"/>
        </w:rPr>
        <w:tab/>
        <w:t>Form of Restricted Stock Unit Agreement under 2021 Stock Incentive Plan</w:t>
      </w:r>
    </w:p>
    <w:p>
      <w:pPr>
        <w:spacing w:after="0" w:line="93"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10.11</w:t>
      </w:r>
      <w:r>
        <w:rPr>
          <w:rFonts w:ascii="Times New Roman" w:cs="Times New Roman" w:eastAsia="Times New Roman" w:hAnsi="Times New Roman"/>
          <w:sz w:val="20"/>
          <w:szCs w:val="20"/>
          <w:color w:val="1B1B1B"/>
        </w:rPr>
        <w:tab/>
        <w:t>Form of Director and Officer Indemnification Agreement</w:t>
      </w:r>
    </w:p>
    <w:p>
      <w:pPr>
        <w:spacing w:after="0" w:line="168" w:lineRule="exact"/>
        <w:rPr>
          <w:sz w:val="20"/>
          <w:szCs w:val="20"/>
          <w:color w:val="auto"/>
        </w:rPr>
      </w:pPr>
    </w:p>
    <w:p>
      <w:pPr>
        <w:jc w:val="right"/>
        <w:ind w:left="140" w:right="640"/>
        <w:spacing w:after="0" w:line="279"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color w:val="1B1B1B"/>
        </w:rPr>
        <w:t>Consulting Agreement, dated as of April 15, 2023,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B1B1B"/>
        </w:rPr>
        <w:t>between the Registrant and D. Allen Annis, Ph.D.</w:t>
      </w:r>
    </w:p>
    <w:p>
      <w:pPr>
        <w:spacing w:after="0" w:line="93" w:lineRule="exact"/>
        <w:rPr>
          <w:sz w:val="20"/>
          <w:szCs w:val="20"/>
          <w:color w:val="auto"/>
        </w:rPr>
      </w:pPr>
    </w:p>
    <w:p>
      <w:pPr>
        <w:ind w:left="940" w:hanging="738"/>
        <w:spacing w:after="0" w:line="253" w:lineRule="auto"/>
        <w:tabs>
          <w:tab w:leader="none" w:pos="920" w:val="left"/>
        </w:tabs>
        <w:rPr>
          <w:sz w:val="20"/>
          <w:szCs w:val="20"/>
          <w:color w:val="auto"/>
        </w:rPr>
      </w:pPr>
      <w:r>
        <w:rPr>
          <w:rFonts w:ascii="Times New Roman" w:cs="Times New Roman" w:eastAsia="Times New Roman" w:hAnsi="Times New Roman"/>
          <w:sz w:val="20"/>
          <w:szCs w:val="20"/>
          <w:color w:val="auto"/>
        </w:rPr>
        <w:t>10.14</w:t>
      </w:r>
      <w:r>
        <w:rPr>
          <w:rFonts w:ascii="Times New Roman" w:cs="Times New Roman" w:eastAsia="Times New Roman" w:hAnsi="Times New Roman"/>
          <w:sz w:val="20"/>
          <w:szCs w:val="20"/>
          <w:color w:val="1B1B1B"/>
        </w:rPr>
        <w:tab/>
        <w:t>Waiver Under Amended and Restated License Agreement, dated as of February 19, 2010, by and among the Registrant, President and Fellows of Harvard College and Dana-Farber Cancer Institute, Inc.</w:t>
      </w:r>
    </w:p>
    <w:p>
      <w:pPr>
        <w:spacing w:after="0" w:line="117" w:lineRule="exact"/>
        <w:rPr>
          <w:sz w:val="20"/>
          <w:szCs w:val="20"/>
          <w:color w:val="auto"/>
        </w:rPr>
      </w:pPr>
    </w:p>
    <w:p>
      <w:pPr>
        <w:ind w:left="940" w:right="280" w:hanging="789"/>
        <w:spacing w:after="0" w:line="280" w:lineRule="auto"/>
        <w:tabs>
          <w:tab w:leader="none" w:pos="92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19"/>
          <w:szCs w:val="19"/>
          <w:color w:val="1B1B1B"/>
        </w:rPr>
        <w:t>Stock and Warrant Purchase Agreement, dated as of October 31, 2023, by and among Aileron Therapeutics, Inc. and each purchaser identified on Annex A thereto</w:t>
      </w:r>
    </w:p>
    <w:p>
      <w:pPr>
        <w:spacing w:after="0" w:line="93" w:lineRule="exact"/>
        <w:rPr>
          <w:sz w:val="20"/>
          <w:szCs w:val="20"/>
          <w:color w:val="auto"/>
        </w:rPr>
      </w:pPr>
    </w:p>
    <w:p>
      <w:pPr>
        <w:jc w:val="both"/>
        <w:ind w:left="940" w:right="180" w:hanging="738"/>
        <w:spacing w:after="0" w:line="260" w:lineRule="auto"/>
        <w:tabs>
          <w:tab w:leader="none" w:pos="920" w:val="left"/>
        </w:tabs>
        <w:rPr>
          <w:sz w:val="20"/>
          <w:szCs w:val="20"/>
          <w:color w:val="auto"/>
        </w:rPr>
      </w:pPr>
      <w:r>
        <w:rPr>
          <w:rFonts w:ascii="Times New Roman" w:cs="Times New Roman" w:eastAsia="Times New Roman" w:hAnsi="Times New Roman"/>
          <w:sz w:val="20"/>
          <w:szCs w:val="20"/>
          <w:color w:val="auto"/>
        </w:rPr>
        <w:t>10.16</w:t>
      </w:r>
      <w:r>
        <w:rPr>
          <w:rFonts w:ascii="Times New Roman" w:cs="Times New Roman" w:eastAsia="Times New Roman" w:hAnsi="Times New Roman"/>
          <w:sz w:val="20"/>
          <w:szCs w:val="20"/>
          <w:color w:val="1B1B1B"/>
        </w:rPr>
        <w:tab/>
        <w:t>Form of Registration Rights Agreement, by and among Aileron Therapeutics, Inc. and certain purchasers named therein</w:t>
      </w:r>
    </w:p>
    <w:p>
      <w:pPr>
        <w:spacing w:after="0" w:line="111" w:lineRule="exact"/>
        <w:rPr>
          <w:sz w:val="20"/>
          <w:szCs w:val="20"/>
          <w:color w:val="auto"/>
        </w:rPr>
      </w:pPr>
    </w:p>
    <w:p>
      <w:pPr>
        <w:ind w:left="940" w:right="140" w:hanging="789"/>
        <w:spacing w:after="0" w:line="260" w:lineRule="auto"/>
        <w:tabs>
          <w:tab w:leader="none" w:pos="920" w:val="left"/>
        </w:tabs>
        <w:rPr>
          <w:sz w:val="20"/>
          <w:szCs w:val="20"/>
          <w:color w:val="auto"/>
        </w:rPr>
      </w:pPr>
      <w:r>
        <w:rPr>
          <w:rFonts w:ascii="Times New Roman" w:cs="Times New Roman" w:eastAsia="Times New Roman" w:hAnsi="Times New Roman"/>
          <w:sz w:val="20"/>
          <w:szCs w:val="20"/>
          <w:color w:val="auto"/>
        </w:rPr>
        <w:t>10.17*</w:t>
      </w:r>
      <w:r>
        <w:rPr>
          <w:rFonts w:ascii="Times New Roman" w:cs="Times New Roman" w:eastAsia="Times New Roman" w:hAnsi="Times New Roman"/>
          <w:sz w:val="20"/>
          <w:szCs w:val="20"/>
          <w:color w:val="1B1B1B"/>
        </w:rPr>
        <w:tab/>
        <w:t>Executive Employment Agreement, dated as of February 1, 2014, by and between Lung Therapeutics, Inc. and Brian Windsor, Ph.D., as amended</w:t>
      </w:r>
    </w:p>
    <w:p>
      <w:pPr>
        <w:spacing w:after="0" w:line="111" w:lineRule="exact"/>
        <w:rPr>
          <w:sz w:val="20"/>
          <w:szCs w:val="20"/>
          <w:color w:val="auto"/>
        </w:rPr>
      </w:pPr>
    </w:p>
    <w:p>
      <w:pPr>
        <w:ind w:left="940" w:right="160" w:hanging="789"/>
        <w:spacing w:after="0" w:line="260" w:lineRule="auto"/>
        <w:tabs>
          <w:tab w:leader="none" w:pos="920" w:val="left"/>
        </w:tabs>
        <w:rPr>
          <w:sz w:val="20"/>
          <w:szCs w:val="20"/>
          <w:color w:val="auto"/>
        </w:rPr>
      </w:pPr>
      <w:r>
        <w:rPr>
          <w:rFonts w:ascii="Times New Roman" w:cs="Times New Roman" w:eastAsia="Times New Roman" w:hAnsi="Times New Roman"/>
          <w:sz w:val="20"/>
          <w:szCs w:val="20"/>
          <w:color w:val="auto"/>
        </w:rPr>
        <w:t>10.18*</w:t>
      </w:r>
      <w:r>
        <w:rPr>
          <w:rFonts w:ascii="Times New Roman" w:cs="Times New Roman" w:eastAsia="Times New Roman" w:hAnsi="Times New Roman"/>
          <w:sz w:val="20"/>
          <w:szCs w:val="20"/>
          <w:color w:val="1B1B1B"/>
        </w:rPr>
        <w:tab/>
        <w:t>Letter Agreement, dated as of February 11, 2023, by and between Lung Therapeutics, Inc. and Brian Windsor, Ph.D.</w:t>
      </w:r>
    </w:p>
    <w:p>
      <w:pPr>
        <w:spacing w:after="0" w:line="111" w:lineRule="exact"/>
        <w:rPr>
          <w:sz w:val="20"/>
          <w:szCs w:val="20"/>
          <w:color w:val="auto"/>
        </w:rPr>
      </w:pPr>
    </w:p>
    <w:p>
      <w:pPr>
        <w:ind w:left="940" w:right="240" w:hanging="789"/>
        <w:spacing w:after="0" w:line="260" w:lineRule="auto"/>
        <w:tabs>
          <w:tab w:leader="none" w:pos="920" w:val="left"/>
        </w:tabs>
        <w:rPr>
          <w:sz w:val="20"/>
          <w:szCs w:val="20"/>
          <w:color w:val="auto"/>
        </w:rPr>
      </w:pPr>
      <w:r>
        <w:rPr>
          <w:rFonts w:ascii="Times New Roman" w:cs="Times New Roman" w:eastAsia="Times New Roman" w:hAnsi="Times New Roman"/>
          <w:sz w:val="20"/>
          <w:szCs w:val="20"/>
          <w:color w:val="auto"/>
        </w:rPr>
        <w:t>10.19*</w:t>
      </w:r>
      <w:r>
        <w:rPr>
          <w:rFonts w:ascii="Times New Roman" w:cs="Times New Roman" w:eastAsia="Times New Roman" w:hAnsi="Times New Roman"/>
          <w:sz w:val="20"/>
          <w:szCs w:val="20"/>
          <w:color w:val="1B1B1B"/>
        </w:rPr>
        <w:tab/>
        <w:t>Letter Agreement, dated as of October 30, 2023, by and between Lung Therapeutics, Inc. and Brian Windsor, Ph.D.</w:t>
      </w:r>
    </w:p>
    <w:p>
      <w:pPr>
        <w:spacing w:after="0" w:line="111" w:lineRule="exact"/>
        <w:rPr>
          <w:sz w:val="20"/>
          <w:szCs w:val="20"/>
          <w:color w:val="auto"/>
        </w:rPr>
      </w:pPr>
    </w:p>
    <w:p>
      <w:pPr>
        <w:jc w:val="both"/>
        <w:ind w:left="940" w:right="120" w:hanging="845"/>
        <w:spacing w:after="0" w:line="259" w:lineRule="auto"/>
        <w:tabs>
          <w:tab w:leader="none" w:pos="920" w:val="left"/>
        </w:tabs>
        <w:rPr>
          <w:sz w:val="20"/>
          <w:szCs w:val="20"/>
          <w:color w:val="auto"/>
        </w:rPr>
      </w:pPr>
      <w:r>
        <w:rPr>
          <w:rFonts w:ascii="Times New Roman" w:cs="Times New Roman" w:eastAsia="Times New Roman" w:hAnsi="Times New Roman"/>
          <w:sz w:val="20"/>
          <w:szCs w:val="20"/>
          <w:color w:val="auto"/>
        </w:rPr>
        <w:t>10.20+#</w:t>
      </w:r>
      <w:r>
        <w:rPr>
          <w:rFonts w:ascii="Times New Roman" w:cs="Times New Roman" w:eastAsia="Times New Roman" w:hAnsi="Times New Roman"/>
          <w:sz w:val="20"/>
          <w:szCs w:val="20"/>
          <w:color w:val="1B1B1B"/>
        </w:rPr>
        <w:tab/>
        <w:t>Exclusive License Agreement, dated as of November 12, 2020, by and between Lung Therapeutics, Inc. and Taiho Pharmaceutical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6/2/2017</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10.5</w:t>
            </w:r>
          </w:p>
        </w:tc>
      </w:tr>
      <w:tr>
        <w:trPr>
          <w:trHeight w:val="628"/>
        </w:trPr>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6/2/2017</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10.6</w:t>
            </w:r>
          </w:p>
        </w:tc>
      </w:tr>
      <w:tr>
        <w:trPr>
          <w:trHeight w:val="628"/>
        </w:trPr>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6/19/2017</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10.8</w:t>
            </w:r>
          </w:p>
        </w:tc>
      </w:tr>
      <w:tr>
        <w:trPr>
          <w:trHeight w:val="398"/>
        </w:trPr>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6/19/2017</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10.9</w:t>
            </w:r>
          </w:p>
        </w:tc>
      </w:tr>
      <w:tr>
        <w:trPr>
          <w:trHeight w:val="628"/>
        </w:trPr>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6/19/2017</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7"/>
              </w:rPr>
              <w:t>10.10</w:t>
            </w:r>
          </w:p>
        </w:tc>
      </w:tr>
      <w:tr>
        <w:trPr>
          <w:trHeight w:val="628"/>
        </w:trPr>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6/19/2017</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7"/>
              </w:rPr>
              <w:t>10.11</w:t>
            </w: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4/15/2024</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7"/>
              </w:rPr>
              <w:t>10.11</w:t>
            </w:r>
          </w:p>
        </w:tc>
      </w:tr>
      <w:tr>
        <w:trPr>
          <w:trHeight w:val="62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3/20/2023</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7"/>
              </w:rPr>
              <w:t>10.12</w:t>
            </w:r>
          </w:p>
        </w:tc>
      </w:tr>
      <w:tr>
        <w:trPr>
          <w:trHeight w:val="62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3/20/2023</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7"/>
              </w:rPr>
              <w:t>10.13</w:t>
            </w:r>
          </w:p>
        </w:tc>
      </w:tr>
      <w:tr>
        <w:trPr>
          <w:trHeight w:val="628"/>
        </w:trPr>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6/19/2017</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7"/>
              </w:rPr>
              <w:t>10.12</w:t>
            </w: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5/8/2023</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10.2</w:t>
            </w:r>
          </w:p>
        </w:tc>
      </w:tr>
      <w:tr>
        <w:trPr>
          <w:trHeight w:val="62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10/13/2023</w:t>
            </w:r>
          </w:p>
        </w:tc>
        <w:tc>
          <w:tcPr>
            <w:tcW w:w="6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700" w:val="left"/>
          <w:tab w:leader="none" w:pos="19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10/31/2023</w:t>
      </w:r>
      <w:r>
        <w:rPr>
          <w:sz w:val="20"/>
          <w:szCs w:val="20"/>
          <w:color w:val="auto"/>
        </w:rPr>
        <w:tab/>
      </w:r>
      <w:r>
        <w:rPr>
          <w:rFonts w:ascii="Times New Roman" w:cs="Times New Roman" w:eastAsia="Times New Roman" w:hAnsi="Times New Roman"/>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tabs>
          <w:tab w:leader="none" w:pos="700" w:val="left"/>
          <w:tab w:leader="none" w:pos="19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10/31/2023</w:t>
      </w:r>
      <w:r>
        <w:rPr>
          <w:sz w:val="20"/>
          <w:szCs w:val="20"/>
          <w:color w:val="auto"/>
        </w:rPr>
        <w:tab/>
      </w: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tabs>
          <w:tab w:leader="none" w:pos="700" w:val="left"/>
          <w:tab w:leader="none" w:pos="19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10/31/2023</w:t>
      </w:r>
      <w:r>
        <w:rPr>
          <w:sz w:val="20"/>
          <w:szCs w:val="20"/>
          <w:color w:val="auto"/>
        </w:rPr>
        <w:tab/>
      </w: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tabs>
          <w:tab w:leader="none" w:pos="700" w:val="left"/>
          <w:tab w:leader="none" w:pos="19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10/31/2023</w:t>
      </w:r>
      <w:r>
        <w:rPr>
          <w:sz w:val="20"/>
          <w:szCs w:val="20"/>
          <w:color w:val="auto"/>
        </w:rPr>
        <w:tab/>
      </w: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tabs>
          <w:tab w:leader="none" w:pos="700" w:val="left"/>
          <w:tab w:leader="none" w:pos="19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10/31/2023</w:t>
      </w:r>
      <w:r>
        <w:rPr>
          <w:sz w:val="20"/>
          <w:szCs w:val="20"/>
          <w:color w:val="auto"/>
        </w:rPr>
        <w:tab/>
      </w: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tabs>
          <w:tab w:leader="none" w:pos="760" w:val="left"/>
          <w:tab w:leader="none" w:pos="19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1/25/2024</w:t>
      </w:r>
      <w:r>
        <w:rPr>
          <w:sz w:val="20"/>
          <w:szCs w:val="20"/>
          <w:color w:val="auto"/>
        </w:rPr>
        <w:tab/>
      </w:r>
      <w:r>
        <w:rPr>
          <w:rFonts w:ascii="Times New Roman" w:cs="Times New Roman" w:eastAsia="Times New Roman" w:hAnsi="Times New Roman"/>
          <w:sz w:val="20"/>
          <w:szCs w:val="20"/>
          <w:color w:val="auto"/>
        </w:rPr>
        <w:t>10.1</w:t>
      </w:r>
    </w:p>
    <w:p>
      <w:pPr>
        <w:sectPr>
          <w:pgSz w:w="12240" w:h="15840" w:orient="portrait"/>
          <w:cols w:equalWidth="0" w:num="2">
            <w:col w:w="5640" w:space="300"/>
            <w:col w:w="3420"/>
          </w:cols>
          <w:pgMar w:left="1440" w:top="1440" w:right="1440" w:bottom="177" w:gutter="0" w:footer="0" w:header="0"/>
        </w:sectPr>
      </w:pPr>
    </w:p>
    <w:bookmarkStart w:id="104" w:name="page105"/>
    <w:bookmarkEnd w:id="104"/>
    <w:p>
      <w:pPr>
        <w:ind w:left="140"/>
        <w:spacing w:after="0"/>
        <w:tabs>
          <w:tab w:leader="none" w:pos="92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19"/>
          <w:szCs w:val="19"/>
          <w:color w:val="1B1B1B"/>
        </w:rPr>
        <w:t>Amended and Restated Patent and Technology License</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1B1B1B"/>
        </w:rPr>
        <w:t>Agreement, effective as of December 19, 2013, by and</w:t>
      </w:r>
    </w:p>
    <w:p>
      <w:pPr>
        <w:ind w:left="940"/>
        <w:spacing w:after="0"/>
        <w:rPr>
          <w:sz w:val="20"/>
          <w:szCs w:val="20"/>
          <w:color w:val="auto"/>
        </w:rPr>
      </w:pPr>
      <w:r>
        <w:rPr>
          <w:rFonts w:ascii="Times New Roman" w:cs="Times New Roman" w:eastAsia="Times New Roman" w:hAnsi="Times New Roman"/>
          <w:sz w:val="19"/>
          <w:szCs w:val="19"/>
          <w:color w:val="1B1B1B"/>
        </w:rPr>
        <w:t>between Lung Therapeutics, Inc. and the Board of Regents</w:t>
      </w:r>
    </w:p>
    <w:p>
      <w:pPr>
        <w:spacing w:after="0" w:line="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1B1B1B"/>
        </w:rPr>
        <w:t>of The University of Texas System, on behalf of The</w:t>
      </w:r>
    </w:p>
    <w:p>
      <w:pPr>
        <w:ind w:left="940"/>
        <w:spacing w:after="0"/>
        <w:rPr>
          <w:sz w:val="20"/>
          <w:szCs w:val="20"/>
          <w:color w:val="auto"/>
        </w:rPr>
      </w:pPr>
      <w:r>
        <w:rPr>
          <w:rFonts w:ascii="Times New Roman" w:cs="Times New Roman" w:eastAsia="Times New Roman" w:hAnsi="Times New Roman"/>
          <w:sz w:val="20"/>
          <w:szCs w:val="20"/>
          <w:color w:val="1B1B1B"/>
        </w:rPr>
        <w:t>University of Texas Health Science Center at Tyler, as</w:t>
      </w:r>
    </w:p>
    <w:p>
      <w:pPr>
        <w:ind w:left="940"/>
        <w:spacing w:after="0"/>
        <w:rPr>
          <w:sz w:val="20"/>
          <w:szCs w:val="20"/>
          <w:color w:val="auto"/>
        </w:rPr>
      </w:pPr>
      <w:r>
        <w:rPr>
          <w:rFonts w:ascii="Times New Roman" w:cs="Times New Roman" w:eastAsia="Times New Roman" w:hAnsi="Times New Roman"/>
          <w:sz w:val="20"/>
          <w:szCs w:val="20"/>
          <w:color w:val="1B1B1B"/>
        </w:rPr>
        <w:t>amended by First Amendment, effective as of May 4,</w:t>
      </w:r>
    </w:p>
    <w:p>
      <w:pPr>
        <w:ind w:left="940"/>
        <w:spacing w:after="0"/>
        <w:rPr>
          <w:sz w:val="20"/>
          <w:szCs w:val="20"/>
          <w:color w:val="auto"/>
        </w:rPr>
      </w:pPr>
      <w:r>
        <w:rPr>
          <w:rFonts w:ascii="Times New Roman" w:cs="Times New Roman" w:eastAsia="Times New Roman" w:hAnsi="Times New Roman"/>
          <w:sz w:val="20"/>
          <w:szCs w:val="20"/>
          <w:color w:val="1B1B1B"/>
        </w:rPr>
        <w:t>2017.</w:t>
      </w:r>
    </w:p>
    <w:p>
      <w:pPr>
        <w:spacing w:after="0" w:line="160"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19"/>
          <w:szCs w:val="19"/>
          <w:color w:val="1B1B1B"/>
        </w:rPr>
        <w:t>Patent License Agreement, effective as of May 21, 2015,</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1B1B1B"/>
        </w:rPr>
        <w:t>by and between Lung Therapeutics, Inc. and the</w:t>
      </w:r>
    </w:p>
    <w:p>
      <w:pPr>
        <w:ind w:left="940"/>
        <w:spacing w:after="0"/>
        <w:rPr>
          <w:sz w:val="20"/>
          <w:szCs w:val="20"/>
          <w:color w:val="auto"/>
        </w:rPr>
      </w:pPr>
      <w:r>
        <w:rPr>
          <w:rFonts w:ascii="Times New Roman" w:cs="Times New Roman" w:eastAsia="Times New Roman" w:hAnsi="Times New Roman"/>
          <w:sz w:val="20"/>
          <w:szCs w:val="20"/>
          <w:color w:val="1B1B1B"/>
        </w:rPr>
        <w:t>University of Texas at Austin, on behalf of The University</w:t>
      </w:r>
    </w:p>
    <w:p>
      <w:pPr>
        <w:ind w:left="940"/>
        <w:spacing w:after="0"/>
        <w:rPr>
          <w:sz w:val="20"/>
          <w:szCs w:val="20"/>
          <w:color w:val="auto"/>
        </w:rPr>
      </w:pPr>
      <w:r>
        <w:rPr>
          <w:rFonts w:ascii="Times New Roman" w:cs="Times New Roman" w:eastAsia="Times New Roman" w:hAnsi="Times New Roman"/>
          <w:sz w:val="20"/>
          <w:szCs w:val="20"/>
          <w:color w:val="1B1B1B"/>
        </w:rPr>
        <w:t>of Texas System, as amended by Amendment #1, dated as</w:t>
      </w:r>
    </w:p>
    <w:p>
      <w:pPr>
        <w:ind w:left="940"/>
        <w:spacing w:after="0"/>
        <w:rPr>
          <w:sz w:val="20"/>
          <w:szCs w:val="20"/>
          <w:color w:val="auto"/>
        </w:rPr>
      </w:pPr>
      <w:r>
        <w:rPr>
          <w:rFonts w:ascii="Times New Roman" w:cs="Times New Roman" w:eastAsia="Times New Roman" w:hAnsi="Times New Roman"/>
          <w:sz w:val="20"/>
          <w:szCs w:val="20"/>
          <w:color w:val="1B1B1B"/>
        </w:rPr>
        <w:t>of January 26, 2017, Amendment #2, dated as of</w:t>
      </w:r>
    </w:p>
    <w:p>
      <w:pPr>
        <w:ind w:left="940"/>
        <w:spacing w:after="0"/>
        <w:rPr>
          <w:sz w:val="20"/>
          <w:szCs w:val="20"/>
          <w:color w:val="auto"/>
        </w:rPr>
      </w:pPr>
      <w:r>
        <w:rPr>
          <w:rFonts w:ascii="Times New Roman" w:cs="Times New Roman" w:eastAsia="Times New Roman" w:hAnsi="Times New Roman"/>
          <w:sz w:val="20"/>
          <w:szCs w:val="20"/>
          <w:color w:val="1B1B1B"/>
        </w:rPr>
        <w:t>November 19, 2018, Amendment #3, effective as of June</w:t>
      </w:r>
    </w:p>
    <w:p>
      <w:pPr>
        <w:ind w:left="940"/>
        <w:spacing w:after="0"/>
        <w:rPr>
          <w:sz w:val="20"/>
          <w:szCs w:val="20"/>
          <w:color w:val="auto"/>
        </w:rPr>
      </w:pPr>
      <w:r>
        <w:rPr>
          <w:rFonts w:ascii="Times New Roman" w:cs="Times New Roman" w:eastAsia="Times New Roman" w:hAnsi="Times New Roman"/>
          <w:sz w:val="20"/>
          <w:szCs w:val="20"/>
          <w:color w:val="1B1B1B"/>
        </w:rPr>
        <w:t>20, 2019, and Amendment #4, dated as of April 28, 2023.</w:t>
      </w:r>
    </w:p>
    <w:p>
      <w:pPr>
        <w:spacing w:after="0" w:line="159" w:lineRule="exact"/>
        <w:rPr>
          <w:sz w:val="20"/>
          <w:szCs w:val="20"/>
          <w:color w:val="auto"/>
        </w:rPr>
      </w:pPr>
    </w:p>
    <w:p>
      <w:pPr>
        <w:ind w:left="940" w:hanging="795"/>
        <w:spacing w:after="0" w:line="253" w:lineRule="auto"/>
        <w:tabs>
          <w:tab w:leader="none" w:pos="920" w:val="left"/>
        </w:tabs>
        <w:rPr>
          <w:sz w:val="20"/>
          <w:szCs w:val="20"/>
          <w:color w:val="auto"/>
        </w:rPr>
      </w:pPr>
      <w:r>
        <w:rPr>
          <w:rFonts w:ascii="Times New Roman" w:cs="Times New Roman" w:eastAsia="Times New Roman" w:hAnsi="Times New Roman"/>
          <w:sz w:val="20"/>
          <w:szCs w:val="20"/>
          <w:color w:val="auto"/>
        </w:rPr>
        <w:t>10.23+</w:t>
      </w:r>
      <w:r>
        <w:rPr>
          <w:rFonts w:ascii="Times New Roman" w:cs="Times New Roman" w:eastAsia="Times New Roman" w:hAnsi="Times New Roman"/>
          <w:sz w:val="20"/>
          <w:szCs w:val="20"/>
          <w:color w:val="1B1B1B"/>
        </w:rPr>
        <w:tab/>
        <w:t>Amended and Restated License Agreement, effective as of September 1, 2018, by and between Lung Therapeutics, Inc. and Medical University of South Carolina Foundation for Research Development.</w:t>
      </w:r>
    </w:p>
    <w:p>
      <w:pPr>
        <w:spacing w:after="0" w:line="119" w:lineRule="exact"/>
        <w:rPr>
          <w:sz w:val="20"/>
          <w:szCs w:val="20"/>
          <w:color w:val="auto"/>
        </w:rPr>
      </w:pPr>
    </w:p>
    <w:p>
      <w:pPr>
        <w:ind w:left="940" w:right="40" w:hanging="795"/>
        <w:spacing w:after="0" w:line="259" w:lineRule="auto"/>
        <w:tabs>
          <w:tab w:leader="none" w:pos="920" w:val="left"/>
        </w:tabs>
        <w:rPr>
          <w:sz w:val="20"/>
          <w:szCs w:val="20"/>
          <w:color w:val="auto"/>
        </w:rPr>
      </w:pPr>
      <w:r>
        <w:rPr>
          <w:rFonts w:ascii="Times New Roman" w:cs="Times New Roman" w:eastAsia="Times New Roman" w:hAnsi="Times New Roman"/>
          <w:sz w:val="20"/>
          <w:szCs w:val="20"/>
          <w:color w:val="auto"/>
        </w:rPr>
        <w:t>10.24+</w:t>
      </w:r>
      <w:r>
        <w:rPr>
          <w:rFonts w:ascii="Times New Roman" w:cs="Times New Roman" w:eastAsia="Times New Roman" w:hAnsi="Times New Roman"/>
          <w:sz w:val="20"/>
          <w:szCs w:val="20"/>
          <w:color w:val="1B1B1B"/>
        </w:rPr>
        <w:tab/>
        <w:t>License Agreement, effective as of March 8, 2018, by and between Lung Therapeutics, Inc. and Vivarta Therapeutics, L.L.C.</w:t>
      </w:r>
    </w:p>
    <w:p>
      <w:pPr>
        <w:spacing w:after="0" w:line="113" w:lineRule="exact"/>
        <w:rPr>
          <w:sz w:val="20"/>
          <w:szCs w:val="20"/>
          <w:color w:val="auto"/>
        </w:rPr>
      </w:pPr>
    </w:p>
    <w:p>
      <w:pPr>
        <w:ind w:left="940" w:right="160" w:hanging="789"/>
        <w:spacing w:after="0" w:line="279" w:lineRule="auto"/>
        <w:tabs>
          <w:tab w:leader="none" w:pos="920" w:val="left"/>
        </w:tabs>
        <w:rPr>
          <w:sz w:val="20"/>
          <w:szCs w:val="20"/>
          <w:color w:val="auto"/>
        </w:rPr>
      </w:pPr>
      <w:r>
        <w:rPr>
          <w:rFonts w:ascii="Times New Roman" w:cs="Times New Roman" w:eastAsia="Times New Roman" w:hAnsi="Times New Roman"/>
          <w:sz w:val="20"/>
          <w:szCs w:val="20"/>
          <w:color w:val="auto"/>
        </w:rPr>
        <w:t>10.25*</w:t>
      </w:r>
      <w:r>
        <w:rPr>
          <w:rFonts w:ascii="Times New Roman" w:cs="Times New Roman" w:eastAsia="Times New Roman" w:hAnsi="Times New Roman"/>
          <w:sz w:val="20"/>
          <w:szCs w:val="20"/>
          <w:color w:val="1B1B1B"/>
        </w:rPr>
        <w:tab/>
        <w:t>Lung Therapeutics, Inc.2013 Long-Term Incentive Plan, as amended</w:t>
      </w:r>
    </w:p>
    <w:p>
      <w:pPr>
        <w:spacing w:after="0" w:line="93"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color w:val="1B1B1B"/>
        </w:rPr>
        <w:t>Rein Insider Trading Policy</w:t>
      </w:r>
    </w:p>
    <w:p>
      <w:pPr>
        <w:spacing w:after="0" w:line="168"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1B1B1B"/>
        </w:rPr>
        <w:t>Subsidiaries of Rein Therapeutics, Inc.</w:t>
      </w:r>
    </w:p>
    <w:p>
      <w:pPr>
        <w:spacing w:after="0" w:line="167" w:lineRule="exact"/>
        <w:rPr>
          <w:sz w:val="20"/>
          <w:szCs w:val="20"/>
          <w:color w:val="auto"/>
        </w:rPr>
      </w:pPr>
    </w:p>
    <w:p>
      <w:pPr>
        <w:ind w:left="940" w:right="40" w:hanging="689"/>
        <w:spacing w:after="0" w:line="280" w:lineRule="auto"/>
        <w:tabs>
          <w:tab w:leader="none" w:pos="9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20"/>
          <w:szCs w:val="20"/>
          <w:color w:val="1B1B1B"/>
        </w:rPr>
        <w:t>Consent of CBIZ CPAs PC, independent registered public accounting firm</w:t>
      </w:r>
    </w:p>
    <w:p>
      <w:pPr>
        <w:spacing w:after="0" w:line="92" w:lineRule="exact"/>
        <w:rPr>
          <w:sz w:val="20"/>
          <w:szCs w:val="20"/>
          <w:color w:val="auto"/>
        </w:rPr>
      </w:pPr>
    </w:p>
    <w:p>
      <w:pPr>
        <w:ind w:left="940" w:right="220" w:hanging="689"/>
        <w:spacing w:after="0" w:line="279" w:lineRule="auto"/>
        <w:tabs>
          <w:tab w:leader="none" w:pos="92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20"/>
          <w:szCs w:val="20"/>
          <w:color w:val="1B1B1B"/>
        </w:rPr>
        <w:t>Consent of Marcum LLP, independent registered public accounting firm</w:t>
      </w:r>
    </w:p>
    <w:p>
      <w:pPr>
        <w:spacing w:after="0" w:line="93" w:lineRule="exact"/>
        <w:rPr>
          <w:sz w:val="20"/>
          <w:szCs w:val="20"/>
          <w:color w:val="auto"/>
        </w:rPr>
      </w:pPr>
    </w:p>
    <w:p>
      <w:pPr>
        <w:ind w:left="940" w:right="280" w:hanging="689"/>
        <w:spacing w:after="0" w:line="253" w:lineRule="auto"/>
        <w:tabs>
          <w:tab w:leader="none" w:pos="92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1B1B1B"/>
        </w:rPr>
        <w:t>Certification of Principal Executive Officer Pursuant to Rules 13a-14(a) and 15d-14(a) under the Securities Exchange Act of 1934, as Adopted Pursuant to Section 302 of the Sarbanes-Oxley Act of 2002.</w:t>
      </w:r>
    </w:p>
    <w:p>
      <w:pPr>
        <w:spacing w:after="0" w:line="119" w:lineRule="exact"/>
        <w:rPr>
          <w:sz w:val="20"/>
          <w:szCs w:val="20"/>
          <w:color w:val="auto"/>
        </w:rPr>
      </w:pPr>
    </w:p>
    <w:p>
      <w:pPr>
        <w:ind w:left="940" w:right="300" w:hanging="689"/>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1B1B1B"/>
        </w:rPr>
        <w:t>Certification of Principal Financial Officer Pursuant to Rules 13a-14(a) and 15d-14(a) under the Securities Exchange Act of 1934, as Adopted Pursuant to Section 302 of the Sarbanes-Oxley Act of 2002.</w:t>
      </w:r>
    </w:p>
    <w:p>
      <w:pPr>
        <w:spacing w:after="0" w:line="121" w:lineRule="exact"/>
        <w:rPr>
          <w:sz w:val="20"/>
          <w:szCs w:val="20"/>
          <w:color w:val="auto"/>
        </w:rPr>
      </w:pPr>
    </w:p>
    <w:p>
      <w:pPr>
        <w:jc w:val="both"/>
        <w:ind w:left="940" w:right="20" w:hanging="689"/>
        <w:spacing w:after="0" w:line="259" w:lineRule="auto"/>
        <w:tabs>
          <w:tab w:leader="none" w:pos="92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1B1B1B"/>
        </w:rPr>
        <w:t>Certification of Principal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br w:type="column"/>
      </w:r>
    </w:p>
    <w:p>
      <w:pPr>
        <w:ind w:left="60"/>
        <w:spacing w:after="0"/>
        <w:tabs>
          <w:tab w:leader="none" w:pos="760" w:val="left"/>
          <w:tab w:leader="none" w:pos="19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1/25/2024</w:t>
      </w:r>
      <w:r>
        <w:rPr>
          <w:sz w:val="20"/>
          <w:szCs w:val="20"/>
          <w:color w:val="auto"/>
        </w:rPr>
        <w:tab/>
      </w: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760" w:val="left"/>
          <w:tab w:leader="none" w:pos="196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1/25/2024</w:t>
      </w:r>
      <w:r>
        <w:rPr>
          <w:sz w:val="20"/>
          <w:szCs w:val="20"/>
          <w:color w:val="auto"/>
        </w:rPr>
        <w:tab/>
      </w: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0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1/25/2024</w:t>
            </w:r>
          </w:p>
        </w:tc>
        <w:tc>
          <w:tcPr>
            <w:tcW w:w="134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rPr>
              <w:t>10.4</w:t>
            </w:r>
          </w:p>
        </w:tc>
      </w:tr>
      <w:tr>
        <w:trPr>
          <w:trHeight w:val="1088"/>
        </w:trPr>
        <w:tc>
          <w:tcPr>
            <w:tcW w:w="60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1/25/2024</w:t>
            </w:r>
          </w:p>
        </w:tc>
        <w:tc>
          <w:tcPr>
            <w:tcW w:w="134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rPr>
              <w:t>10.5</w:t>
            </w:r>
          </w:p>
        </w:tc>
      </w:tr>
      <w:tr>
        <w:trPr>
          <w:trHeight w:val="858"/>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10-K</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4/15/2024</w:t>
            </w:r>
          </w:p>
        </w:tc>
        <w:tc>
          <w:tcPr>
            <w:tcW w:w="134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w w:val="97"/>
              </w:rPr>
              <w:t>10.42</w:t>
            </w:r>
          </w:p>
        </w:tc>
      </w:tr>
      <w:tr>
        <w:trPr>
          <w:trHeight w:val="628"/>
        </w:trPr>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ind w:left="1200"/>
              <w:spacing w:after="0"/>
              <w:rPr>
                <w:sz w:val="20"/>
                <w:szCs w:val="20"/>
                <w:color w:val="auto"/>
              </w:rPr>
            </w:pPr>
            <w:r>
              <w:rPr>
                <w:rFonts w:ascii="Times New Roman" w:cs="Times New Roman" w:eastAsia="Times New Roman" w:hAnsi="Times New Roman"/>
                <w:sz w:val="20"/>
                <w:szCs w:val="20"/>
                <w:color w:val="auto"/>
                <w:w w:val="82"/>
              </w:rPr>
              <w:t>X</w:t>
            </w:r>
          </w:p>
        </w:tc>
      </w:tr>
      <w:tr>
        <w:trPr>
          <w:trHeight w:val="398"/>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10-K</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4/15/2024</w:t>
            </w:r>
          </w:p>
        </w:tc>
        <w:tc>
          <w:tcPr>
            <w:tcW w:w="134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rPr>
              <w:t>21.1</w:t>
            </w:r>
          </w:p>
        </w:tc>
      </w:tr>
    </w:tbl>
    <w:p>
      <w:pPr>
        <w:spacing w:after="0" w:line="12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20"/>
          <w:szCs w:val="20"/>
          <w:color w:val="auto"/>
        </w:rPr>
        <w:t>X</w:t>
      </w:r>
    </w:p>
    <w:p>
      <w:pPr>
        <w:spacing w:after="0" w:line="39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20"/>
          <w:szCs w:val="20"/>
          <w:color w:val="auto"/>
        </w:rPr>
        <w:t>X</w:t>
      </w:r>
    </w:p>
    <w:p>
      <w:pPr>
        <w:spacing w:after="0" w:line="39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20"/>
          <w:szCs w:val="20"/>
          <w:color w:val="auto"/>
        </w:rPr>
        <w:t>X</w:t>
      </w:r>
    </w:p>
    <w:p>
      <w:pPr>
        <w:sectPr>
          <w:pgSz w:w="12240" w:h="15840" w:orient="portrait"/>
          <w:cols w:equalWidth="0" w:num="2">
            <w:col w:w="5640" w:space="300"/>
            <w:col w:w="3420"/>
          </w:cols>
          <w:pgMar w:left="1440" w:top="1433" w:right="1440" w:bottom="177" w:gutter="0" w:footer="0" w:header="0"/>
        </w:sectPr>
      </w:pPr>
    </w:p>
    <w:bookmarkStart w:id="105" w:name="page106"/>
    <w:bookmarkEnd w:id="105"/>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32.2</w:t>
            </w: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1B1B1B"/>
              </w:rPr>
              <w:t>Certification of Principal Financial Officer Pursuant to 18</w:t>
            </w: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X</w:t>
            </w:r>
          </w:p>
        </w:tc>
      </w:tr>
      <w:tr>
        <w:trPr>
          <w:trHeight w:val="230"/>
        </w:trPr>
        <w:tc>
          <w:tcPr>
            <w:tcW w:w="800" w:type="dxa"/>
            <w:vAlign w:val="bottom"/>
          </w:tcPr>
          <w:p>
            <w:pPr>
              <w:spacing w:after="0"/>
              <w:rPr>
                <w:sz w:val="20"/>
                <w:szCs w:val="20"/>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1B1B1B"/>
              </w:rPr>
              <w:t>U.S.C. Section 1350, as Adopted Pursuant to Section 906</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8"/>
        </w:trPr>
        <w:tc>
          <w:tcPr>
            <w:tcW w:w="800" w:type="dxa"/>
            <w:vAlign w:val="bottom"/>
          </w:tcPr>
          <w:p>
            <w:pPr>
              <w:spacing w:after="0"/>
              <w:rPr>
                <w:sz w:val="23"/>
                <w:szCs w:val="23"/>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1B1B1B"/>
              </w:rPr>
              <w:t>of the Sarbanes-Oxley Act of 2002.</w:t>
            </w: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398"/>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97.1</w:t>
            </w: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1B1B1B"/>
              </w:rPr>
              <w:t>Rein Therapeutics, Inc. Compensation Recovery Policy</w:t>
            </w:r>
          </w:p>
        </w:tc>
        <w:tc>
          <w:tcPr>
            <w:tcW w:w="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4/15/2024</w:t>
            </w:r>
          </w:p>
        </w:tc>
        <w:tc>
          <w:tcPr>
            <w:tcW w:w="1320" w:type="dxa"/>
            <w:vAlign w:val="bottom"/>
          </w:tcPr>
          <w:p>
            <w:pPr>
              <w:jc w:val="right"/>
              <w:ind w:right="660"/>
              <w:spacing w:after="0"/>
              <w:rPr>
                <w:sz w:val="20"/>
                <w:szCs w:val="20"/>
                <w:color w:val="auto"/>
              </w:rPr>
            </w:pPr>
            <w:r>
              <w:rPr>
                <w:rFonts w:ascii="Times New Roman" w:cs="Times New Roman" w:eastAsia="Times New Roman" w:hAnsi="Times New Roman"/>
                <w:sz w:val="20"/>
                <w:szCs w:val="20"/>
                <w:color w:val="auto"/>
              </w:rPr>
              <w:t>97.1</w:t>
            </w:r>
          </w:p>
        </w:tc>
      </w:tr>
      <w:tr>
        <w:trPr>
          <w:trHeight w:val="359"/>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101.INS</w:t>
            </w: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 – the instance document</w:t>
            </w: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does not appear in the Interactive Data File because XBRL</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8"/>
        </w:trPr>
        <w:tc>
          <w:tcPr>
            <w:tcW w:w="800" w:type="dxa"/>
            <w:vAlign w:val="bottom"/>
          </w:tcPr>
          <w:p>
            <w:pPr>
              <w:spacing w:after="0"/>
              <w:rPr>
                <w:sz w:val="23"/>
                <w:szCs w:val="23"/>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tags are embedded within the Inline XBRL document.</w:t>
            </w: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359"/>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101.SCH</w:t>
            </w: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With</w:t>
            </w: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8"/>
        </w:trPr>
        <w:tc>
          <w:tcPr>
            <w:tcW w:w="800" w:type="dxa"/>
            <w:vAlign w:val="bottom"/>
          </w:tcPr>
          <w:p>
            <w:pPr>
              <w:spacing w:after="0"/>
              <w:rPr>
                <w:sz w:val="23"/>
                <w:szCs w:val="23"/>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Embedded Linkbase Documents</w:t>
            </w: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20" w:type="dxa"/>
            <w:vAlign w:val="bottom"/>
          </w:tcPr>
          <w:p>
            <w:pPr>
              <w:spacing w:after="0"/>
              <w:rPr>
                <w:sz w:val="23"/>
                <w:szCs w:val="23"/>
                <w:color w:val="auto"/>
              </w:rPr>
            </w:pPr>
          </w:p>
        </w:tc>
      </w:tr>
    </w:tbl>
    <w:p>
      <w:pPr>
        <w:spacing w:after="0" w:line="129" w:lineRule="exact"/>
        <w:rPr>
          <w:sz w:val="20"/>
          <w:szCs w:val="20"/>
          <w:color w:val="auto"/>
        </w:rPr>
      </w:pPr>
    </w:p>
    <w:p>
      <w:pPr>
        <w:ind w:left="940" w:right="4000" w:hanging="666"/>
        <w:spacing w:after="0" w:line="280" w:lineRule="auto"/>
        <w:tabs>
          <w:tab w:leader="none" w:pos="9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44" w:lineRule="exact"/>
        <w:rPr>
          <w:rFonts w:ascii="Times New Roman" w:cs="Times New Roman" w:eastAsia="Times New Roman" w:hAnsi="Times New Roman"/>
          <w:sz w:val="20"/>
          <w:szCs w:val="20"/>
          <w:color w:val="auto"/>
        </w:rPr>
      </w:pPr>
    </w:p>
    <w:p>
      <w:pPr>
        <w:ind w:left="640" w:hanging="150"/>
        <w:spacing w:after="0"/>
        <w:tabs>
          <w:tab w:leader="none" w:pos="6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w:t>
      </w:r>
    </w:p>
    <w:p>
      <w:pPr>
        <w:spacing w:after="0" w:line="119" w:lineRule="exact"/>
        <w:rPr>
          <w:sz w:val="20"/>
          <w:szCs w:val="20"/>
          <w:color w:val="auto"/>
        </w:rPr>
      </w:pPr>
    </w:p>
    <w:p>
      <w:pPr>
        <w:jc w:val="both"/>
        <w:ind w:left="480" w:firstLine="10"/>
        <w:spacing w:after="0" w:line="260" w:lineRule="auto"/>
        <w:tabs>
          <w:tab w:leader="none" w:pos="63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Item 601(b)(10)(iv) of Regulation S-K, certain information (indicated by “[**]”) has been excluded from this exhibit because it is both not material and private or confidential. A copy of the omitted portion will be furnished to the SEC upon request.</w:t>
      </w:r>
    </w:p>
    <w:p>
      <w:pPr>
        <w:spacing w:after="0" w:line="63" w:lineRule="exact"/>
        <w:rPr>
          <w:sz w:val="20"/>
          <w:szCs w:val="20"/>
          <w:color w:val="auto"/>
        </w:rPr>
      </w:pPr>
    </w:p>
    <w:p>
      <w:pPr>
        <w:ind w:left="480" w:firstLine="10"/>
        <w:spacing w:after="0" w:line="280" w:lineRule="auto"/>
        <w:tabs>
          <w:tab w:leader="none" w:pos="76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has been requested and/or granted as to certain portions, which portions have been omitted and filed separately with the SEC.</w:t>
      </w:r>
    </w:p>
    <w:p>
      <w:pPr>
        <w:spacing w:after="0" w:line="44" w:lineRule="exact"/>
        <w:rPr>
          <w:sz w:val="20"/>
          <w:szCs w:val="20"/>
          <w:color w:val="auto"/>
        </w:rPr>
      </w:pPr>
    </w:p>
    <w:p>
      <w:pPr>
        <w:jc w:val="both"/>
        <w:ind w:left="480" w:firstLine="10"/>
        <w:spacing w:after="0" w:line="259" w:lineRule="auto"/>
        <w:tabs>
          <w:tab w:leader="none" w:pos="64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and similar attachments have been omitted pursuant to Item 601(a)(5) of Regulation S-K. The registrant undertakes to furnish supplemental copies of any of the omitted schedules upon request by the SEC.</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SEC File No. 333-218474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360"/>
          </w:cols>
          <w:pgMar w:left="1440" w:top="1440" w:right="1440" w:bottom="177"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1" w:lineRule="exact"/>
        <w:rPr>
          <w:sz w:val="20"/>
          <w:szCs w:val="20"/>
          <w:color w:val="auto"/>
        </w:rPr>
      </w:pPr>
    </w:p>
    <w:p>
      <w:pPr>
        <w:ind w:firstLine="490"/>
        <w:spacing w:after="0" w:line="28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1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Rein Therapeutics, Inc.</w:t>
      </w:r>
    </w:p>
    <w:p>
      <w:pPr>
        <w:spacing w:after="0" w:line="305" w:lineRule="exact"/>
        <w:rPr>
          <w:sz w:val="20"/>
          <w:szCs w:val="20"/>
          <w:color w:val="auto"/>
        </w:rPr>
      </w:pPr>
    </w:p>
    <w:p>
      <w:pPr>
        <w:spacing w:after="0"/>
        <w:tabs>
          <w:tab w:leader="none" w:pos="4640" w:val="left"/>
          <w:tab w:leader="none" w:pos="6180" w:val="left"/>
        </w:tabs>
        <w:rPr>
          <w:sz w:val="20"/>
          <w:szCs w:val="20"/>
          <w:color w:val="auto"/>
        </w:rPr>
      </w:pPr>
      <w:r>
        <w:rPr>
          <w:rFonts w:ascii="Times New Roman" w:cs="Times New Roman" w:eastAsia="Times New Roman" w:hAnsi="Times New Roman"/>
          <w:sz w:val="20"/>
          <w:szCs w:val="20"/>
          <w:color w:val="auto"/>
        </w:rPr>
        <w:t>Date: March 26,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Brian Windsor,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3202305</wp:posOffset>
                </wp:positionH>
                <wp:positionV relativeFrom="paragraph">
                  <wp:posOffset>15240</wp:posOffset>
                </wp:positionV>
                <wp:extent cx="274129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5pt,1.2pt" to="468pt,1.2pt" o:allowincell="f" strokecolor="#000000" strokeweight="0.2399pt"/>
            </w:pict>
          </mc:Fallback>
        </mc:AlternateContent>
        <mc:AlternateContent>
          <mc:Choice Requires="wps">
            <w:drawing>
              <wp:anchor simplePos="0" relativeHeight="251657728" behindDoc="1" locked="0" layoutInCell="0" allowOverlap="1">
                <wp:simplePos x="0" y="0"/>
                <wp:positionH relativeFrom="column">
                  <wp:posOffset>3202305</wp:posOffset>
                </wp:positionH>
                <wp:positionV relativeFrom="paragraph">
                  <wp:posOffset>21590</wp:posOffset>
                </wp:positionV>
                <wp:extent cx="274129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5pt,1.7pt" to="468pt,1.7pt" o:allowincell="f" strokecolor="#FFFFFF" strokeweight="0.78pt"/>
            </w:pict>
          </mc:Fallback>
        </mc:AlternateConten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b w:val="1"/>
          <w:bCs w:val="1"/>
          <w:color w:val="auto"/>
        </w:rPr>
        <w:t>Brian Windsor, Ph.D.</w:t>
      </w:r>
    </w:p>
    <w:p>
      <w:pPr>
        <w:spacing w:after="0" w:line="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ind w:left="6020"/>
        <w:spacing w:after="0"/>
        <w:rPr>
          <w:sz w:val="20"/>
          <w:szCs w:val="20"/>
          <w:color w:val="auto"/>
        </w:rPr>
      </w:pPr>
      <w:r>
        <w:rPr>
          <w:rFonts w:ascii="Times New Roman" w:cs="Times New Roman" w:eastAsia="Times New Roman" w:hAnsi="Times New Roman"/>
          <w:sz w:val="20"/>
          <w:szCs w:val="20"/>
          <w:b w:val="1"/>
          <w:bCs w:val="1"/>
          <w:color w:val="auto"/>
        </w:rPr>
        <w:t>(principal executive officer)</w:t>
      </w:r>
    </w:p>
    <w:p>
      <w:pPr>
        <w:spacing w:after="0" w:line="231" w:lineRule="exact"/>
        <w:rPr>
          <w:sz w:val="20"/>
          <w:szCs w:val="20"/>
          <w:color w:val="auto"/>
        </w:rPr>
      </w:pPr>
    </w:p>
    <w:p>
      <w:pPr>
        <w:ind w:firstLine="49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11" w:lineRule="exact"/>
        <w:rPr>
          <w:sz w:val="20"/>
          <w:szCs w:val="20"/>
          <w:color w:val="auto"/>
        </w:rPr>
      </w:pPr>
    </w:p>
    <w:p>
      <w:pPr>
        <w:ind w:left="1340"/>
        <w:spacing w:after="0"/>
        <w:tabs>
          <w:tab w:leader="none" w:pos="5240" w:val="left"/>
          <w:tab w:leader="none" w:pos="838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196024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0245"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154.35pt,1pt" o:allowincell="f" strokecolor="#000000"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196024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024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154.35pt,1.55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2020570</wp:posOffset>
                </wp:positionH>
                <wp:positionV relativeFrom="paragraph">
                  <wp:posOffset>12700</wp:posOffset>
                </wp:positionV>
                <wp:extent cx="285305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3055"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1pt,1pt" to="383.75pt,1pt" o:allowincell="f" strokecolor="#000000" strokeweight="0.2399pt"/>
            </w:pict>
          </mc:Fallback>
        </mc:AlternateContent>
        <mc:AlternateContent>
          <mc:Choice Requires="wps">
            <w:drawing>
              <wp:anchor simplePos="0" relativeHeight="251657728" behindDoc="1" locked="0" layoutInCell="0" allowOverlap="1">
                <wp:simplePos x="0" y="0"/>
                <wp:positionH relativeFrom="column">
                  <wp:posOffset>2020570</wp:posOffset>
                </wp:positionH>
                <wp:positionV relativeFrom="paragraph">
                  <wp:posOffset>19685</wp:posOffset>
                </wp:positionV>
                <wp:extent cx="285305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305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1pt,1.55pt" to="383.75pt,1.55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4932680</wp:posOffset>
                </wp:positionH>
                <wp:positionV relativeFrom="paragraph">
                  <wp:posOffset>12700</wp:posOffset>
                </wp:positionV>
                <wp:extent cx="101092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0920"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4pt,1pt" to="468pt,1pt" o:allowincell="f" strokecolor="#000000" strokeweight="0.2399pt"/>
            </w:pict>
          </mc:Fallback>
        </mc:AlternateContent>
        <mc:AlternateContent>
          <mc:Choice Requires="wps">
            <w:drawing>
              <wp:anchor simplePos="0" relativeHeight="251657728" behindDoc="1" locked="0" layoutInCell="0" allowOverlap="1">
                <wp:simplePos x="0" y="0"/>
                <wp:positionH relativeFrom="column">
                  <wp:posOffset>4932680</wp:posOffset>
                </wp:positionH>
                <wp:positionV relativeFrom="paragraph">
                  <wp:posOffset>19685</wp:posOffset>
                </wp:positionV>
                <wp:extent cx="101092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092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4pt,1.55pt" to="468pt,1.55pt" o:allowincell="f" strokecolor="#FFFFFF" strokeweight="0.78pt"/>
            </w:pict>
          </mc:Fallback>
        </mc:AlternateConten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1520" w:type="dxa"/>
            <w:vAlign w:val="bottom"/>
          </w:tcPr>
          <w:p>
            <w:pPr>
              <w:spacing w:after="0"/>
              <w:rPr>
                <w:sz w:val="19"/>
                <w:szCs w:val="19"/>
                <w:color w:val="auto"/>
              </w:rPr>
            </w:pPr>
          </w:p>
        </w:tc>
      </w:tr>
      <w:tr>
        <w:trPr>
          <w:trHeight w:val="252"/>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20"/>
                <w:szCs w:val="20"/>
                <w:color w:val="auto"/>
              </w:rPr>
              <w:t>Brian Windsor, Ph.D.</w:t>
            </w: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March 26, 2026</w:t>
            </w: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Brian Windsor, Ph.D.</w:t>
            </w:r>
          </w:p>
        </w:tc>
        <w:tc>
          <w:tcPr>
            <w:tcW w:w="4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57"/>
        </w:trPr>
        <w:tc>
          <w:tcPr>
            <w:tcW w:w="308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Interim Chief Financial Officer</w:t>
            </w:r>
          </w:p>
        </w:tc>
        <w:tc>
          <w:tcPr>
            <w:tcW w:w="1520" w:type="dxa"/>
            <w:vAlign w:val="bottom"/>
          </w:tcPr>
          <w:p>
            <w:pPr>
              <w:spacing w:after="0"/>
              <w:rPr>
                <w:sz w:val="24"/>
                <w:szCs w:val="24"/>
                <w:color w:val="auto"/>
              </w:rPr>
            </w:pPr>
          </w:p>
        </w:tc>
      </w:tr>
      <w:tr>
        <w:trPr>
          <w:trHeight w:val="229"/>
        </w:trPr>
        <w:tc>
          <w:tcPr>
            <w:tcW w:w="308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(principal financial officer and principal accounting</w:t>
            </w:r>
          </w:p>
        </w:tc>
        <w:tc>
          <w:tcPr>
            <w:tcW w:w="1520" w:type="dxa"/>
            <w:vAlign w:val="bottom"/>
          </w:tcPr>
          <w:p>
            <w:pPr>
              <w:spacing w:after="0"/>
              <w:rPr>
                <w:sz w:val="19"/>
                <w:szCs w:val="19"/>
                <w:color w:val="auto"/>
              </w:rPr>
            </w:pPr>
          </w:p>
        </w:tc>
      </w:tr>
      <w:tr>
        <w:trPr>
          <w:trHeight w:val="252"/>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Timothy M. Cunningham</w:t>
            </w: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officer)</w:t>
            </w:r>
          </w:p>
        </w:tc>
        <w:tc>
          <w:tcPr>
            <w:tcW w:w="1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March 26, 2026</w:t>
            </w: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Timothy M. Cunningham</w:t>
            </w:r>
          </w:p>
        </w:tc>
        <w:tc>
          <w:tcPr>
            <w:tcW w:w="4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78"/>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Josef H. Von Rickenbach</w:t>
            </w:r>
          </w:p>
        </w:tc>
        <w:tc>
          <w:tcPr>
            <w:tcW w:w="4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1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March 26, 2026</w:t>
            </w:r>
          </w:p>
        </w:tc>
      </w:tr>
      <w:tr>
        <w:trPr>
          <w:trHeight w:val="209"/>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Josef H. Von Rickenbach</w:t>
            </w:r>
          </w:p>
        </w:tc>
        <w:tc>
          <w:tcPr>
            <w:tcW w:w="45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78"/>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Reinhard J. Ambros, Ph.D.</w:t>
            </w:r>
          </w:p>
        </w:tc>
        <w:tc>
          <w:tcPr>
            <w:tcW w:w="4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March 26, 2026</w:t>
            </w: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Reinhard J. Ambros, Ph.D.</w:t>
            </w:r>
          </w:p>
        </w:tc>
        <w:tc>
          <w:tcPr>
            <w:tcW w:w="4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7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William C. Fairey</w:t>
            </w:r>
          </w:p>
        </w:tc>
        <w:tc>
          <w:tcPr>
            <w:tcW w:w="4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March 26, 2026</w:t>
            </w: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William C. Fairey</w:t>
            </w:r>
          </w:p>
        </w:tc>
        <w:tc>
          <w:tcPr>
            <w:tcW w:w="4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78"/>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Alan Musso</w:t>
            </w:r>
          </w:p>
        </w:tc>
        <w:tc>
          <w:tcPr>
            <w:tcW w:w="4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5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March 26, 2026</w:t>
            </w: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Alan Musso</w:t>
            </w:r>
          </w:p>
        </w:tc>
        <w:tc>
          <w:tcPr>
            <w:tcW w:w="450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360"/>
          </w:cols>
          <w:pgMar w:left="1440" w:top="1416" w:right="1440" w:bottom="177" w:gutter="0" w:footer="0" w:header="0"/>
        </w:sectPr>
      </w:pPr>
    </w:p>
    <w:bookmarkStart w:id="107" w:name="page108"/>
    <w:bookmarkEnd w:id="107"/>
    <w:p>
      <w:pPr>
        <w:ind w:left="23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B1B1B"/>
        </w:rPr>
        <w:t>Report of Independent Registered Public Accounting Firm (PCAOB ID 199)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B1B1B"/>
        </w:rPr>
        <w:t>Report of Independent Registered Public Accounting Firm (PCAOB ID 688)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B1B1B"/>
        </w:rPr>
        <w:t>Consolidated Balance Sheets as of December 31, 2025 and 2024</w:t>
      </w:r>
    </w:p>
    <w:p>
      <w:pPr>
        <w:spacing w:after="0" w:line="16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20"/>
          <w:szCs w:val="20"/>
          <w:color w:val="1B1B1B"/>
        </w:rPr>
        <w:t>Consolidated Statements of Operations and Comprehensive Loss for the Years ended December 31, 2025 and 2024</w:t>
      </w:r>
    </w:p>
    <w:p>
      <w:pPr>
        <w:spacing w:after="0" w:line="9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1B1B1B"/>
        </w:rPr>
        <w:t>Consolidated Statements of Changes in Convertible Preferred Stock and Stockholders’ Equity for the Years ended December 31, 2025 and 2024</w:t>
      </w:r>
    </w:p>
    <w:p>
      <w:pPr>
        <w:spacing w:after="0" w:line="93" w:lineRule="exact"/>
        <w:rPr>
          <w:sz w:val="20"/>
          <w:szCs w:val="20"/>
          <w:color w:val="auto"/>
        </w:rPr>
      </w:pPr>
    </w:p>
    <w:p>
      <w:pPr>
        <w:ind w:right="1400"/>
        <w:spacing w:after="0" w:line="455" w:lineRule="auto"/>
        <w:rPr>
          <w:sz w:val="20"/>
          <w:szCs w:val="20"/>
          <w:color w:val="auto"/>
        </w:rPr>
      </w:pPr>
      <w:r>
        <w:rPr>
          <w:rFonts w:ascii="Times New Roman" w:cs="Times New Roman" w:eastAsia="Times New Roman" w:hAnsi="Times New Roman"/>
          <w:sz w:val="20"/>
          <w:szCs w:val="20"/>
          <w:color w:val="1B1B1B"/>
        </w:rPr>
        <w:t>Consolidated Statements of Cash Flows for the Years ended December 31, 2025 and 2024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F-1</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F-4</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F-6</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F-7</w:t>
      </w:r>
    </w:p>
    <w:p>
      <w:pPr>
        <w:spacing w:after="0" w:line="3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F-8</w:t>
      </w:r>
    </w:p>
    <w:p>
      <w:pPr>
        <w:spacing w:after="0" w:line="2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2">
            <w:col w:w="8620" w:space="340"/>
            <w:col w:w="400"/>
          </w:cols>
          <w:pgMar w:left="1440" w:top="1416" w:right="1440" w:bottom="177"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Stockholders and Board of Directors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Rein Therapeutics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Opinion on the Financial Statements</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We have audited the accompanying consolidated balance sheet of Rein Therapeutics Inc. (the “Company”) as of December 31, 2025, the related consolidated statements of operations and comprehensive loss, changes in convertible preferred stock and stockholders’ equity and cash flows for the year ended December 31, 2025, and the related notes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Explanatory Paragraph – Going Concern</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accompanying consolidated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for Opinion</w:t>
      </w:r>
    </w:p>
    <w:p>
      <w:pPr>
        <w:spacing w:after="0" w:line="2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1416" w:right="1440" w:bottom="177"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b w:val="1"/>
          <w:bCs w:val="1"/>
          <w:color w:val="auto"/>
        </w:rPr>
        <w:t>Critical Audit Matters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9" w:lineRule="exact"/>
        <w:rPr>
          <w:sz w:val="20"/>
          <w:szCs w:val="20"/>
          <w:color w:val="auto"/>
        </w:rPr>
      </w:pPr>
    </w:p>
    <w:p>
      <w:pPr>
        <w:ind w:right="2900"/>
        <w:spacing w:after="0" w:line="479" w:lineRule="auto"/>
        <w:rPr>
          <w:sz w:val="20"/>
          <w:szCs w:val="20"/>
          <w:color w:val="auto"/>
        </w:rPr>
      </w:pPr>
      <w:r>
        <w:rPr>
          <w:rFonts w:ascii="Times New Roman" w:cs="Times New Roman" w:eastAsia="Times New Roman" w:hAnsi="Times New Roman"/>
          <w:sz w:val="22"/>
          <w:szCs w:val="22"/>
          <w:u w:val="single" w:color="auto"/>
          <w:color w:val="auto"/>
        </w:rPr>
        <w:t xml:space="preserve">Goodwill and Indefinite-Lived Intangible Assets Impairment Assessment </w:t>
      </w:r>
      <w:r>
        <w:rPr>
          <w:rFonts w:ascii="Times New Roman" w:cs="Times New Roman" w:eastAsia="Times New Roman" w:hAnsi="Times New Roman"/>
          <w:sz w:val="22"/>
          <w:szCs w:val="22"/>
          <w:i w:val="1"/>
          <w:iCs w:val="1"/>
          <w:color w:val="auto"/>
        </w:rPr>
        <w:t>Critical Audit Matter Description</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As described in Note 5 to the consolidated financial statements, the Company’s consolidated balances of Goodwill and In -process Research and Development (“IPR&amp;D”) indefinite-lived intangible assets were $6.3 million and $13.5 million, respectively, as of December 31, 2025. The Company reviews goodwill for impairment at least annually or more frequently if events or circumstances indicate the carrying value at the reporting unit level might exceed its fair value. The IPR&amp;D indefinite-lived intangibles are tested annually for impairment, or more frequently if events or circumstances indicate it is more likely than not the fair value is less than their carrying value. The Company estimated the fair value of its reporting unit using an income approach. The Company estimated the fair value of certain IPR&amp;D assets using a multi period excess earnings model. The Company performed impairment analyses for IPR&amp;D and Goodwill, which resulted in an impairment charge of $28.7 million relating to the IPR&amp;D and no impairment relating to Goodwill.</w:t>
      </w:r>
    </w:p>
    <w:p>
      <w:pPr>
        <w:spacing w:after="0" w:line="2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principal consideration, for our determination that the evaluation of the fair values of the indefinite-lived intangible assets and the Company’s reporting unit, as a critical audit matter is the high degree of subjective auditor judgment associated with evaluating management’s determination of the fair values, which is primarily due to the complexity of the valuation models used and the sensitivity of the underlying significant assumptions.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key assumptions used in the determination of the fair value of the reporting unit include estimates of future cash flows and the discount rate applicable to those future cash flow periods. The key assumptions used in the determination of the fair value of certain IPR&amp;D assets include estimates of future cash flows, the probability of success in various phases of its development programs, the discount rate applicable to those future cash flow periods, the tax rate and the timing of regulatory approval. Changes to these key assumptions could have a significant impact on the measurement of the fair value of the reporting unit and certain IPR&amp;D. Auditing management’s valuation methods and these assumptions involve especially challenging and subjective auditor judgment due to the nature and extent of auditor effort required to address these matters, including the specialized knowledge and skill needed.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How the Critical Audit Matter was Addressed in the Audit</w:t>
      </w:r>
    </w:p>
    <w:p>
      <w:pPr>
        <w:spacing w:after="0" w:line="24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2"/>
          <w:szCs w:val="22"/>
          <w:color w:val="auto"/>
        </w:rPr>
        <w:t>Our audit procedures related to the valuation of the fair values of goodwill and indefinite-lived intangible assets included the following, among others:</w:t>
      </w:r>
    </w:p>
    <w:p>
      <w:pPr>
        <w:spacing w:after="0" w:line="55" w:lineRule="exact"/>
        <w:rPr>
          <w:sz w:val="20"/>
          <w:szCs w:val="20"/>
          <w:color w:val="auto"/>
        </w:rPr>
      </w:pPr>
    </w:p>
    <w:p>
      <w:pPr>
        <w:ind w:left="960"/>
        <w:spacing w:after="0" w:line="278" w:lineRule="auto"/>
        <w:rPr>
          <w:sz w:val="20"/>
          <w:szCs w:val="20"/>
          <w:color w:val="auto"/>
        </w:rPr>
      </w:pPr>
      <w:r>
        <w:rPr>
          <w:rFonts w:ascii="Times New Roman" w:cs="Times New Roman" w:eastAsia="Times New Roman" w:hAnsi="Times New Roman"/>
          <w:sz w:val="22"/>
          <w:szCs w:val="22"/>
          <w:color w:val="auto"/>
        </w:rPr>
        <w:t>We evaluated the reasonableness of the valuation analysis from management and the third-party specialist engaged by management.</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We assessed the qualifications and competence of management and the third-party specialist.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1413" w:right="1440" w:bottom="177" w:gutter="0" w:footer="0" w:header="0"/>
        </w:sectPr>
      </w:pPr>
    </w:p>
    <w:bookmarkStart w:id="110" w:name="page111"/>
    <w:bookmarkEnd w:id="110"/>
    <w:p>
      <w:pPr>
        <w:ind w:left="960"/>
        <w:spacing w:after="0" w:line="278" w:lineRule="auto"/>
        <w:rPr>
          <w:sz w:val="20"/>
          <w:szCs w:val="20"/>
          <w:color w:val="auto"/>
        </w:rPr>
      </w:pPr>
      <w:r>
        <w:rPr>
          <w:rFonts w:ascii="Times New Roman" w:cs="Times New Roman" w:eastAsia="Times New Roman" w:hAnsi="Times New Roman"/>
          <w:sz w:val="22"/>
          <w:szCs w:val="22"/>
          <w:color w:val="auto"/>
        </w:rPr>
        <w:t>We evaluated the methodologies used to determine the fair values of the indefinite-lived intangible assets and goodwill.</w:t>
      </w:r>
    </w:p>
    <w:p>
      <w:pPr>
        <w:spacing w:after="0" w:line="55" w:lineRule="exact"/>
        <w:rPr>
          <w:sz w:val="20"/>
          <w:szCs w:val="20"/>
          <w:color w:val="auto"/>
        </w:rPr>
      </w:pPr>
    </w:p>
    <w:p>
      <w:pPr>
        <w:ind w:left="960"/>
        <w:spacing w:after="0" w:line="252" w:lineRule="auto"/>
        <w:rPr>
          <w:sz w:val="20"/>
          <w:szCs w:val="20"/>
          <w:color w:val="auto"/>
        </w:rPr>
      </w:pPr>
      <w:r>
        <w:rPr>
          <w:rFonts w:ascii="Times New Roman" w:cs="Times New Roman" w:eastAsia="Times New Roman" w:hAnsi="Times New Roman"/>
          <w:sz w:val="22"/>
          <w:szCs w:val="22"/>
          <w:color w:val="auto"/>
        </w:rPr>
        <w:t>We tested the assumptions used to estimate the fair values, which included key assumptions such as the estimates of future cash flows, the probability of success in various phases of its development programs, the discount rate applicable to those future cash flow periods, the tax rate, and the timing of regulatory approval.</w:t>
      </w:r>
    </w:p>
    <w:p>
      <w:pPr>
        <w:spacing w:after="0" w:line="84" w:lineRule="exact"/>
        <w:rPr>
          <w:sz w:val="20"/>
          <w:szCs w:val="20"/>
          <w:color w:val="auto"/>
        </w:rPr>
      </w:pPr>
    </w:p>
    <w:p>
      <w:pPr>
        <w:ind w:left="960"/>
        <w:spacing w:after="0" w:line="253" w:lineRule="auto"/>
        <w:rPr>
          <w:sz w:val="20"/>
          <w:szCs w:val="20"/>
          <w:color w:val="auto"/>
        </w:rPr>
      </w:pPr>
      <w:r>
        <w:rPr>
          <w:rFonts w:ascii="Times New Roman" w:cs="Times New Roman" w:eastAsia="Times New Roman" w:hAnsi="Times New Roman"/>
          <w:sz w:val="22"/>
          <w:szCs w:val="22"/>
          <w:color w:val="auto"/>
        </w:rPr>
        <w:t>We assessed the reasonableness of management’s forecast of estimated future cash flows by inquiring with management to understand how the forecast was developed and comparing the projections to external sources including industry trends and data and peer companies’ historical data.</w:t>
      </w:r>
    </w:p>
    <w:p>
      <w:pPr>
        <w:spacing w:after="0" w:line="81" w:lineRule="exact"/>
        <w:rPr>
          <w:sz w:val="20"/>
          <w:szCs w:val="20"/>
          <w:color w:val="auto"/>
        </w:rPr>
      </w:pPr>
    </w:p>
    <w:p>
      <w:pPr>
        <w:ind w:left="960"/>
        <w:spacing w:after="0" w:line="249" w:lineRule="auto"/>
        <w:rPr>
          <w:sz w:val="20"/>
          <w:szCs w:val="20"/>
          <w:color w:val="auto"/>
        </w:rPr>
      </w:pPr>
      <w:r>
        <w:rPr>
          <w:rFonts w:ascii="Times New Roman" w:cs="Times New Roman" w:eastAsia="Times New Roman" w:hAnsi="Times New Roman"/>
          <w:sz w:val="22"/>
          <w:szCs w:val="22"/>
          <w:color w:val="auto"/>
        </w:rPr>
        <w:t>We involved our internal valuation specialist who assisted in (i) evaluating the reasonableness of valuation methods, (ii) testing the mathematical accuracy of the Company’s calculations, (iii) evaluating the reasonableness of the implied control premium; and (iv) evaluating the reasonableness of the significant assumptions to the models, including the discount rate applied to future cash flows.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CBIZ CPA</w:t>
      </w:r>
      <w:r>
        <w:rPr>
          <w:rFonts w:ascii="Times New Roman" w:cs="Times New Roman" w:eastAsia="Times New Roman" w:hAnsi="Times New Roman"/>
          <w:sz w:val="18"/>
          <w:szCs w:val="18"/>
          <w:color w:val="auto"/>
        </w:rPr>
        <w:t>S</w:t>
      </w:r>
      <w:r>
        <w:rPr>
          <w:rFonts w:ascii="Times New Roman" w:cs="Times New Roman" w:eastAsia="Times New Roman" w:hAnsi="Times New Roman"/>
          <w:sz w:val="22"/>
          <w:szCs w:val="22"/>
          <w:color w:val="auto"/>
        </w:rPr>
        <w:t xml:space="preserve"> P.C.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CBIZ CPAs P.C.</w:t>
      </w:r>
    </w:p>
    <w:p>
      <w:pPr>
        <w:spacing w:after="0" w:line="27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2"/>
          <w:szCs w:val="22"/>
          <w:color w:val="auto"/>
        </w:rPr>
        <w:t xml:space="preserve">We have served as the Company’s auditor since 2024 (such date takes into account the acquisition of the attest business of Marcum </w:t>
      </w:r>
      <w:r>
        <w:rPr>
          <w:rFonts w:ascii="Times New Roman" w:cs="Times New Roman" w:eastAsia="Times New Roman" w:hAnsi="Times New Roman"/>
          <w:sz w:val="18"/>
          <w:szCs w:val="18"/>
          <w:color w:val="auto"/>
        </w:rPr>
        <w:t>LLP</w:t>
      </w:r>
      <w:r>
        <w:rPr>
          <w:rFonts w:ascii="Times New Roman" w:cs="Times New Roman" w:eastAsia="Times New Roman" w:hAnsi="Times New Roman"/>
          <w:sz w:val="22"/>
          <w:szCs w:val="22"/>
          <w:color w:val="auto"/>
        </w:rPr>
        <w:t xml:space="preserve"> by CBIZ CPAs P.C. effective November 1,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1433" w:right="1440" w:bottom="177"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Shareholders and Board of Directors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Rein Therapeutics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Opinion on the Financial Statements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We have audited the accompanying consolidated balance sheet of Rein Therapeutics Inc. (the “Company”) as of December 31, 2024, the related consolidated statements of operations and comprehensive loss, changes in convertible preferred stock and stockholders’ equity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Explanatory Paragraph – Going Concern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accompanying consolidated financial statements have been prepared assuming that the Company will continue as a going concern. As more fully described in Note 1, the Company has incurred significant losses and expects to continue to incur operating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for Opinion</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1413" w:right="1440" w:bottom="177"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Marcum </w:t>
      </w:r>
      <w:r>
        <w:rPr>
          <w:rFonts w:ascii="Times New Roman" w:cs="Times New Roman" w:eastAsia="Times New Roman" w:hAnsi="Times New Roman"/>
          <w:sz w:val="18"/>
          <w:szCs w:val="18"/>
          <w:color w:val="auto"/>
        </w:rPr>
        <w:t>LLP</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Marcum LLP</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have served as the Company’s auditor from 2024 to 2025.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1440" w:right="1440" w:bottom="177"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REIN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3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9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2"/>
        </w:trPr>
        <w:tc>
          <w:tcPr>
            <w:tcW w:w="6230" w:type="dxa"/>
            <w:vAlign w:val="bottom"/>
            <w:tcBorders>
              <w:bottom w:val="single" w:sz="8" w:color="E7E7E7"/>
            </w:tcBorders>
          </w:tcPr>
          <w:p>
            <w:pPr>
              <w:spacing w:after="0"/>
              <w:rPr>
                <w:sz w:val="17"/>
                <w:szCs w:val="17"/>
                <w:color w:val="auto"/>
              </w:rPr>
            </w:pPr>
          </w:p>
        </w:tc>
        <w:tc>
          <w:tcPr>
            <w:tcW w:w="150" w:type="dxa"/>
            <w:vAlign w:val="bottom"/>
            <w:tcBorders>
              <w:bottom w:val="single" w:sz="8" w:color="E7E7E7"/>
            </w:tcBorders>
          </w:tcPr>
          <w:p>
            <w:pPr>
              <w:spacing w:after="0"/>
              <w:rPr>
                <w:sz w:val="17"/>
                <w:szCs w:val="17"/>
                <w:color w:val="auto"/>
              </w:rPr>
            </w:pPr>
          </w:p>
        </w:tc>
        <w:tc>
          <w:tcPr>
            <w:tcW w:w="20" w:type="dxa"/>
            <w:vAlign w:val="bottom"/>
            <w:tcBorders>
              <w:bottom w:val="single" w:sz="8" w:color="E7E7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 w:type="dxa"/>
            <w:vAlign w:val="bottom"/>
            <w:tcBorders>
              <w:bottom w:val="single" w:sz="8" w:color="E7E7E7"/>
            </w:tcBorders>
          </w:tcPr>
          <w:p>
            <w:pPr>
              <w:spacing w:after="0"/>
              <w:rPr>
                <w:sz w:val="17"/>
                <w:szCs w:val="17"/>
                <w:color w:val="auto"/>
              </w:rPr>
            </w:pPr>
          </w:p>
        </w:tc>
        <w:tc>
          <w:tcPr>
            <w:tcW w:w="150" w:type="dxa"/>
            <w:vAlign w:val="bottom"/>
            <w:tcBorders>
              <w:bottom w:val="single" w:sz="8" w:color="E7E7E7"/>
            </w:tcBorders>
          </w:tcPr>
          <w:p>
            <w:pPr>
              <w:spacing w:after="0"/>
              <w:rPr>
                <w:sz w:val="17"/>
                <w:szCs w:val="17"/>
                <w:color w:val="auto"/>
              </w:rPr>
            </w:pPr>
          </w:p>
        </w:tc>
        <w:tc>
          <w:tcPr>
            <w:tcW w:w="20" w:type="dxa"/>
            <w:vAlign w:val="bottom"/>
            <w:tcBorders>
              <w:bottom w:val="single" w:sz="8" w:color="E7E7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7E7E7"/>
            </w:tcBorders>
          </w:tcPr>
          <w:p>
            <w:pPr>
              <w:spacing w:after="0"/>
              <w:rPr>
                <w:sz w:val="17"/>
                <w:szCs w:val="17"/>
                <w:color w:val="auto"/>
              </w:rPr>
            </w:pPr>
          </w:p>
        </w:tc>
      </w:tr>
      <w:tr>
        <w:trPr>
          <w:trHeight w:val="233"/>
        </w:trPr>
        <w:tc>
          <w:tcPr>
            <w:tcW w:w="623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1220" w:type="dxa"/>
            <w:vAlign w:val="bottom"/>
            <w:shd w:val="clear" w:color="auto" w:fill="E7E7E7"/>
          </w:tcPr>
          <w:p>
            <w:pPr>
              <w:spacing w:after="0"/>
              <w:rPr>
                <w:sz w:val="20"/>
                <w:szCs w:val="20"/>
                <w:color w:val="auto"/>
              </w:rPr>
            </w:pPr>
          </w:p>
        </w:tc>
        <w:tc>
          <w:tcPr>
            <w:tcW w:w="70" w:type="dxa"/>
            <w:vAlign w:val="bottom"/>
            <w:shd w:val="clear" w:color="auto" w:fill="E7E7E7"/>
          </w:tcPr>
          <w:p>
            <w:pPr>
              <w:spacing w:after="0"/>
              <w:rPr>
                <w:sz w:val="20"/>
                <w:szCs w:val="20"/>
                <w:color w:val="auto"/>
              </w:rPr>
            </w:pPr>
          </w:p>
        </w:tc>
        <w:tc>
          <w:tcPr>
            <w:tcW w:w="1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1220" w:type="dxa"/>
            <w:vAlign w:val="bottom"/>
            <w:shd w:val="clear" w:color="auto" w:fill="E7E7E7"/>
          </w:tcPr>
          <w:p>
            <w:pPr>
              <w:spacing w:after="0"/>
              <w:rPr>
                <w:sz w:val="20"/>
                <w:szCs w:val="20"/>
                <w:color w:val="auto"/>
              </w:rPr>
            </w:pPr>
          </w:p>
        </w:tc>
        <w:tc>
          <w:tcPr>
            <w:tcW w:w="80" w:type="dxa"/>
            <w:vAlign w:val="bottom"/>
            <w:shd w:val="clear" w:color="auto" w:fill="E7E7E7"/>
          </w:tcPr>
          <w:p>
            <w:pPr>
              <w:spacing w:after="0"/>
              <w:rPr>
                <w:sz w:val="20"/>
                <w:szCs w:val="20"/>
                <w:color w:val="auto"/>
              </w:rPr>
            </w:pPr>
          </w:p>
        </w:tc>
      </w:tr>
      <w:tr>
        <w:trPr>
          <w:trHeight w:val="245"/>
        </w:trPr>
        <w:tc>
          <w:tcPr>
            <w:tcW w:w="623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23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3,215</w:t>
            </w:r>
          </w:p>
        </w:tc>
        <w:tc>
          <w:tcPr>
            <w:tcW w:w="7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12,865</w:t>
            </w:r>
          </w:p>
        </w:tc>
        <w:tc>
          <w:tcPr>
            <w:tcW w:w="80" w:type="dxa"/>
            <w:vAlign w:val="bottom"/>
            <w:shd w:val="clear" w:color="auto" w:fill="E7E7E7"/>
          </w:tcPr>
          <w:p>
            <w:pPr>
              <w:spacing w:after="0"/>
              <w:rPr>
                <w:sz w:val="21"/>
                <w:szCs w:val="21"/>
                <w:color w:val="auto"/>
              </w:rPr>
            </w:pPr>
          </w:p>
        </w:tc>
      </w:tr>
      <w:tr>
        <w:trPr>
          <w:trHeight w:val="245"/>
        </w:trPr>
        <w:tc>
          <w:tcPr>
            <w:tcW w:w="6230" w:type="dxa"/>
            <w:vAlign w:val="bottom"/>
            <w:tcBorders>
              <w:bottom w:val="single" w:sz="8" w:color="E7E7E7"/>
            </w:tcBorders>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5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70" w:type="dxa"/>
            <w:vAlign w:val="bottom"/>
            <w:tcBorders>
              <w:bottom w:val="single" w:sz="8" w:color="E7E7E7"/>
            </w:tcBorders>
          </w:tcPr>
          <w:p>
            <w:pPr>
              <w:spacing w:after="0"/>
              <w:rPr>
                <w:sz w:val="21"/>
                <w:szCs w:val="21"/>
                <w:color w:val="auto"/>
              </w:rPr>
            </w:pPr>
          </w:p>
        </w:tc>
        <w:tc>
          <w:tcPr>
            <w:tcW w:w="15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80" w:type="dxa"/>
            <w:vAlign w:val="bottom"/>
            <w:tcBorders>
              <w:bottom w:val="single" w:sz="8" w:color="E7E7E7"/>
            </w:tcBorders>
          </w:tcPr>
          <w:p>
            <w:pPr>
              <w:spacing w:after="0"/>
              <w:rPr>
                <w:sz w:val="21"/>
                <w:szCs w:val="21"/>
                <w:color w:val="auto"/>
              </w:rPr>
            </w:pPr>
          </w:p>
        </w:tc>
      </w:tr>
      <w:tr>
        <w:trPr>
          <w:trHeight w:val="233"/>
        </w:trPr>
        <w:tc>
          <w:tcPr>
            <w:tcW w:w="6230" w:type="dxa"/>
            <w:vAlign w:val="bottom"/>
            <w:shd w:val="clear" w:color="auto" w:fill="E7E7E7"/>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1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4,326</w:t>
            </w:r>
          </w:p>
        </w:tc>
        <w:tc>
          <w:tcPr>
            <w:tcW w:w="70" w:type="dxa"/>
            <w:vAlign w:val="bottom"/>
            <w:shd w:val="clear" w:color="auto" w:fill="E7E7E7"/>
          </w:tcPr>
          <w:p>
            <w:pPr>
              <w:spacing w:after="0"/>
              <w:rPr>
                <w:sz w:val="20"/>
                <w:szCs w:val="20"/>
                <w:color w:val="auto"/>
              </w:rPr>
            </w:pPr>
          </w:p>
        </w:tc>
        <w:tc>
          <w:tcPr>
            <w:tcW w:w="1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13,657</w:t>
            </w:r>
          </w:p>
        </w:tc>
        <w:tc>
          <w:tcPr>
            <w:tcW w:w="80" w:type="dxa"/>
            <w:vAlign w:val="bottom"/>
            <w:shd w:val="clear" w:color="auto" w:fill="E7E7E7"/>
          </w:tcPr>
          <w:p>
            <w:pPr>
              <w:spacing w:after="0"/>
              <w:rPr>
                <w:sz w:val="20"/>
                <w:szCs w:val="20"/>
                <w:color w:val="auto"/>
              </w:rPr>
            </w:pPr>
          </w:p>
        </w:tc>
      </w:tr>
      <w:tr>
        <w:trPr>
          <w:trHeight w:val="244"/>
        </w:trPr>
        <w:tc>
          <w:tcPr>
            <w:tcW w:w="623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9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1"/>
                <w:szCs w:val="21"/>
                <w:color w:val="auto"/>
              </w:rPr>
            </w:pPr>
          </w:p>
        </w:tc>
      </w:tr>
      <w:tr>
        <w:trPr>
          <w:trHeight w:val="244"/>
        </w:trPr>
        <w:tc>
          <w:tcPr>
            <w:tcW w:w="623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Goodwill</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6,330</w:t>
            </w:r>
          </w:p>
        </w:tc>
        <w:tc>
          <w:tcPr>
            <w:tcW w:w="7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6,330</w:t>
            </w:r>
          </w:p>
        </w:tc>
        <w:tc>
          <w:tcPr>
            <w:tcW w:w="80" w:type="dxa"/>
            <w:vAlign w:val="bottom"/>
            <w:shd w:val="clear" w:color="auto" w:fill="E7E7E7"/>
          </w:tcPr>
          <w:p>
            <w:pPr>
              <w:spacing w:after="0"/>
              <w:rPr>
                <w:sz w:val="21"/>
                <w:szCs w:val="21"/>
                <w:color w:val="auto"/>
              </w:rPr>
            </w:pPr>
          </w:p>
        </w:tc>
      </w:tr>
      <w:tr>
        <w:trPr>
          <w:trHeight w:val="245"/>
        </w:trPr>
        <w:tc>
          <w:tcPr>
            <w:tcW w:w="623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13,500</w:t>
            </w:r>
          </w:p>
        </w:tc>
        <w:tc>
          <w:tcPr>
            <w:tcW w:w="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42,200</w:t>
            </w:r>
          </w:p>
        </w:tc>
        <w:tc>
          <w:tcPr>
            <w:tcW w:w="80" w:type="dxa"/>
            <w:vAlign w:val="bottom"/>
          </w:tcPr>
          <w:p>
            <w:pPr>
              <w:spacing w:after="0"/>
              <w:rPr>
                <w:sz w:val="21"/>
                <w:szCs w:val="21"/>
                <w:color w:val="auto"/>
              </w:rPr>
            </w:pPr>
          </w:p>
        </w:tc>
      </w:tr>
      <w:tr>
        <w:trPr>
          <w:trHeight w:val="244"/>
        </w:trPr>
        <w:tc>
          <w:tcPr>
            <w:tcW w:w="623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7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shd w:val="clear" w:color="auto" w:fill="E7E7E7"/>
          </w:tcPr>
          <w:p>
            <w:pPr>
              <w:spacing w:after="0"/>
              <w:rPr>
                <w:sz w:val="21"/>
                <w:szCs w:val="21"/>
                <w:color w:val="auto"/>
              </w:rPr>
            </w:pPr>
          </w:p>
        </w:tc>
      </w:tr>
      <w:tr>
        <w:trPr>
          <w:trHeight w:val="274"/>
        </w:trPr>
        <w:tc>
          <w:tcPr>
            <w:tcW w:w="6230" w:type="dxa"/>
            <w:vAlign w:val="bottom"/>
            <w:tcBorders>
              <w:bottom w:val="single" w:sz="8" w:color="E7E7E7"/>
            </w:tcBorders>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170" w:type="dxa"/>
            <w:vAlign w:val="bottom"/>
            <w:tcBorders>
              <w:bottom w:val="single" w:sz="8" w:color="E7E7E7"/>
            </w:tcBorders>
            <w:gridSpan w:val="2"/>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24,158</w:t>
            </w:r>
          </w:p>
        </w:tc>
        <w:tc>
          <w:tcPr>
            <w:tcW w:w="70" w:type="dxa"/>
            <w:vAlign w:val="bottom"/>
            <w:tcBorders>
              <w:bottom w:val="single" w:sz="8" w:color="E7E7E7"/>
            </w:tcBorders>
          </w:tcPr>
          <w:p>
            <w:pPr>
              <w:spacing w:after="0"/>
              <w:rPr>
                <w:sz w:val="23"/>
                <w:szCs w:val="23"/>
                <w:color w:val="auto"/>
              </w:rPr>
            </w:pPr>
          </w:p>
        </w:tc>
        <w:tc>
          <w:tcPr>
            <w:tcW w:w="150" w:type="dxa"/>
            <w:vAlign w:val="bottom"/>
            <w:tcBorders>
              <w:bottom w:val="single" w:sz="8" w:color="E7E7E7"/>
            </w:tcBorders>
          </w:tcPr>
          <w:p>
            <w:pPr>
              <w:spacing w:after="0"/>
              <w:rPr>
                <w:sz w:val="23"/>
                <w:szCs w:val="23"/>
                <w:color w:val="auto"/>
              </w:rPr>
            </w:pPr>
          </w:p>
        </w:tc>
        <w:tc>
          <w:tcPr>
            <w:tcW w:w="20" w:type="dxa"/>
            <w:vAlign w:val="bottom"/>
            <w:tcBorders>
              <w:bottom w:val="single" w:sz="8" w:color="E7E7E7"/>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62,190</w:t>
            </w:r>
          </w:p>
        </w:tc>
        <w:tc>
          <w:tcPr>
            <w:tcW w:w="80" w:type="dxa"/>
            <w:vAlign w:val="bottom"/>
            <w:tcBorders>
              <w:bottom w:val="single" w:sz="8" w:color="E7E7E7"/>
            </w:tcBorders>
          </w:tcPr>
          <w:p>
            <w:pPr>
              <w:spacing w:after="0"/>
              <w:rPr>
                <w:sz w:val="23"/>
                <w:szCs w:val="23"/>
                <w:color w:val="auto"/>
              </w:rPr>
            </w:pPr>
          </w:p>
        </w:tc>
      </w:tr>
      <w:tr>
        <w:trPr>
          <w:trHeight w:val="229"/>
        </w:trPr>
        <w:tc>
          <w:tcPr>
            <w:tcW w:w="623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b w:val="1"/>
                <w:bCs w:val="1"/>
                <w:color w:val="auto"/>
              </w:rPr>
              <w:t>Liabilities, Convertible Preferred Stock and Stockholders’ Equity</w:t>
            </w:r>
          </w:p>
        </w:tc>
        <w:tc>
          <w:tcPr>
            <w:tcW w:w="15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220" w:type="dxa"/>
            <w:vAlign w:val="bottom"/>
            <w:shd w:val="clear" w:color="auto" w:fill="E7E7E7"/>
          </w:tcPr>
          <w:p>
            <w:pPr>
              <w:spacing w:after="0"/>
              <w:rPr>
                <w:sz w:val="19"/>
                <w:szCs w:val="19"/>
                <w:color w:val="auto"/>
              </w:rPr>
            </w:pPr>
          </w:p>
        </w:tc>
        <w:tc>
          <w:tcPr>
            <w:tcW w:w="70" w:type="dxa"/>
            <w:vAlign w:val="bottom"/>
            <w:shd w:val="clear" w:color="auto" w:fill="E7E7E7"/>
          </w:tcPr>
          <w:p>
            <w:pPr>
              <w:spacing w:after="0"/>
              <w:rPr>
                <w:sz w:val="19"/>
                <w:szCs w:val="19"/>
                <w:color w:val="auto"/>
              </w:rPr>
            </w:pPr>
          </w:p>
        </w:tc>
        <w:tc>
          <w:tcPr>
            <w:tcW w:w="15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220" w:type="dxa"/>
            <w:vAlign w:val="bottom"/>
            <w:shd w:val="clear" w:color="auto" w:fill="E7E7E7"/>
          </w:tcPr>
          <w:p>
            <w:pPr>
              <w:spacing w:after="0"/>
              <w:rPr>
                <w:sz w:val="19"/>
                <w:szCs w:val="19"/>
                <w:color w:val="auto"/>
              </w:rPr>
            </w:pPr>
          </w:p>
        </w:tc>
        <w:tc>
          <w:tcPr>
            <w:tcW w:w="80" w:type="dxa"/>
            <w:vAlign w:val="bottom"/>
            <w:shd w:val="clear" w:color="auto" w:fill="E7E7E7"/>
          </w:tcPr>
          <w:p>
            <w:pPr>
              <w:spacing w:after="0"/>
              <w:rPr>
                <w:sz w:val="19"/>
                <w:szCs w:val="19"/>
                <w:color w:val="auto"/>
              </w:rPr>
            </w:pPr>
          </w:p>
        </w:tc>
      </w:tr>
      <w:tr>
        <w:trPr>
          <w:trHeight w:val="244"/>
        </w:trPr>
        <w:tc>
          <w:tcPr>
            <w:tcW w:w="623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23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3,976</w:t>
            </w:r>
          </w:p>
        </w:tc>
        <w:tc>
          <w:tcPr>
            <w:tcW w:w="7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80" w:type="dxa"/>
            <w:vAlign w:val="bottom"/>
            <w:shd w:val="clear" w:color="auto" w:fill="E7E7E7"/>
          </w:tcPr>
          <w:p>
            <w:pPr>
              <w:spacing w:after="0"/>
              <w:rPr>
                <w:sz w:val="21"/>
                <w:szCs w:val="21"/>
                <w:color w:val="auto"/>
              </w:rPr>
            </w:pPr>
          </w:p>
        </w:tc>
      </w:tr>
      <w:tr>
        <w:trPr>
          <w:trHeight w:val="245"/>
        </w:trPr>
        <w:tc>
          <w:tcPr>
            <w:tcW w:w="623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2,204</w:t>
            </w:r>
          </w:p>
        </w:tc>
        <w:tc>
          <w:tcPr>
            <w:tcW w:w="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4,838</w:t>
            </w:r>
          </w:p>
        </w:tc>
        <w:tc>
          <w:tcPr>
            <w:tcW w:w="80" w:type="dxa"/>
            <w:vAlign w:val="bottom"/>
          </w:tcPr>
          <w:p>
            <w:pPr>
              <w:spacing w:after="0"/>
              <w:rPr>
                <w:sz w:val="21"/>
                <w:szCs w:val="21"/>
                <w:color w:val="auto"/>
              </w:rPr>
            </w:pPr>
          </w:p>
        </w:tc>
      </w:tr>
      <w:tr>
        <w:trPr>
          <w:trHeight w:val="244"/>
        </w:trPr>
        <w:tc>
          <w:tcPr>
            <w:tcW w:w="6230" w:type="dxa"/>
            <w:vAlign w:val="bottom"/>
            <w:shd w:val="clear" w:color="auto" w:fill="E7E7E7"/>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6,180</w:t>
            </w:r>
          </w:p>
        </w:tc>
        <w:tc>
          <w:tcPr>
            <w:tcW w:w="7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5,749</w:t>
            </w:r>
          </w:p>
        </w:tc>
        <w:tc>
          <w:tcPr>
            <w:tcW w:w="80" w:type="dxa"/>
            <w:vAlign w:val="bottom"/>
            <w:shd w:val="clear" w:color="auto" w:fill="E7E7E7"/>
          </w:tcPr>
          <w:p>
            <w:pPr>
              <w:spacing w:after="0"/>
              <w:rPr>
                <w:sz w:val="21"/>
                <w:szCs w:val="21"/>
                <w:color w:val="auto"/>
              </w:rPr>
            </w:pPr>
          </w:p>
        </w:tc>
      </w:tr>
      <w:tr>
        <w:trPr>
          <w:trHeight w:val="244"/>
        </w:trPr>
        <w:tc>
          <w:tcPr>
            <w:tcW w:w="623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liability</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1,772</w:t>
            </w:r>
          </w:p>
        </w:tc>
        <w:tc>
          <w:tcPr>
            <w:tcW w:w="80" w:type="dxa"/>
            <w:vAlign w:val="bottom"/>
          </w:tcPr>
          <w:p>
            <w:pPr>
              <w:spacing w:after="0"/>
              <w:rPr>
                <w:sz w:val="21"/>
                <w:szCs w:val="21"/>
                <w:color w:val="auto"/>
              </w:rPr>
            </w:pPr>
          </w:p>
        </w:tc>
      </w:tr>
      <w:tr>
        <w:trPr>
          <w:trHeight w:val="245"/>
        </w:trPr>
        <w:tc>
          <w:tcPr>
            <w:tcW w:w="623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Other long-term liability</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80" w:type="dxa"/>
            <w:vAlign w:val="bottom"/>
            <w:shd w:val="clear" w:color="auto" w:fill="E7E7E7"/>
          </w:tcPr>
          <w:p>
            <w:pPr>
              <w:spacing w:after="0"/>
              <w:rPr>
                <w:sz w:val="21"/>
                <w:szCs w:val="21"/>
                <w:color w:val="auto"/>
              </w:rPr>
            </w:pPr>
          </w:p>
        </w:tc>
      </w:tr>
      <w:tr>
        <w:trPr>
          <w:trHeight w:val="233"/>
        </w:trPr>
        <w:tc>
          <w:tcPr>
            <w:tcW w:w="6230" w:type="dxa"/>
            <w:vAlign w:val="bottom"/>
            <w:tcBorders>
              <w:bottom w:val="single" w:sz="8" w:color="E7E7E7"/>
            </w:tcBorders>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15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7,240</w:t>
            </w:r>
          </w:p>
        </w:tc>
        <w:tc>
          <w:tcPr>
            <w:tcW w:w="70" w:type="dxa"/>
            <w:vAlign w:val="bottom"/>
            <w:tcBorders>
              <w:bottom w:val="single" w:sz="8" w:color="E7E7E7"/>
            </w:tcBorders>
          </w:tcPr>
          <w:p>
            <w:pPr>
              <w:spacing w:after="0"/>
              <w:rPr>
                <w:sz w:val="20"/>
                <w:szCs w:val="20"/>
                <w:color w:val="auto"/>
              </w:rPr>
            </w:pPr>
          </w:p>
        </w:tc>
        <w:tc>
          <w:tcPr>
            <w:tcW w:w="15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7,798</w:t>
            </w:r>
          </w:p>
        </w:tc>
        <w:tc>
          <w:tcPr>
            <w:tcW w:w="80" w:type="dxa"/>
            <w:vAlign w:val="bottom"/>
            <w:tcBorders>
              <w:bottom w:val="single" w:sz="8" w:color="E7E7E7"/>
            </w:tcBorders>
          </w:tcPr>
          <w:p>
            <w:pPr>
              <w:spacing w:after="0"/>
              <w:rPr>
                <w:sz w:val="20"/>
                <w:szCs w:val="20"/>
                <w:color w:val="auto"/>
              </w:rPr>
            </w:pPr>
          </w:p>
        </w:tc>
      </w:tr>
      <w:tr>
        <w:trPr>
          <w:trHeight w:val="234"/>
        </w:trPr>
        <w:tc>
          <w:tcPr>
            <w:tcW w:w="623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Commitments and contingencies (Note 12)</w:t>
            </w:r>
          </w:p>
        </w:tc>
        <w:tc>
          <w:tcPr>
            <w:tcW w:w="1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1220" w:type="dxa"/>
            <w:vAlign w:val="bottom"/>
            <w:shd w:val="clear" w:color="auto" w:fill="E7E7E7"/>
          </w:tcPr>
          <w:p>
            <w:pPr>
              <w:spacing w:after="0"/>
              <w:rPr>
                <w:sz w:val="20"/>
                <w:szCs w:val="20"/>
                <w:color w:val="auto"/>
              </w:rPr>
            </w:pPr>
          </w:p>
        </w:tc>
        <w:tc>
          <w:tcPr>
            <w:tcW w:w="70" w:type="dxa"/>
            <w:vAlign w:val="bottom"/>
            <w:shd w:val="clear" w:color="auto" w:fill="E7E7E7"/>
          </w:tcPr>
          <w:p>
            <w:pPr>
              <w:spacing w:after="0"/>
              <w:rPr>
                <w:sz w:val="20"/>
                <w:szCs w:val="20"/>
                <w:color w:val="auto"/>
              </w:rPr>
            </w:pPr>
          </w:p>
        </w:tc>
        <w:tc>
          <w:tcPr>
            <w:tcW w:w="1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1220" w:type="dxa"/>
            <w:vAlign w:val="bottom"/>
            <w:shd w:val="clear" w:color="auto" w:fill="E7E7E7"/>
          </w:tcPr>
          <w:p>
            <w:pPr>
              <w:spacing w:after="0"/>
              <w:rPr>
                <w:sz w:val="20"/>
                <w:szCs w:val="20"/>
                <w:color w:val="auto"/>
              </w:rPr>
            </w:pPr>
          </w:p>
        </w:tc>
        <w:tc>
          <w:tcPr>
            <w:tcW w:w="80" w:type="dxa"/>
            <w:vAlign w:val="bottom"/>
            <w:shd w:val="clear" w:color="auto" w:fill="E7E7E7"/>
          </w:tcPr>
          <w:p>
            <w:pPr>
              <w:spacing w:after="0"/>
              <w:rPr>
                <w:sz w:val="20"/>
                <w:szCs w:val="20"/>
                <w:color w:val="auto"/>
              </w:rPr>
            </w:pPr>
          </w:p>
        </w:tc>
      </w:tr>
      <w:tr>
        <w:trPr>
          <w:trHeight w:val="222"/>
        </w:trPr>
        <w:tc>
          <w:tcPr>
            <w:tcW w:w="623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Convertible preferred stock, $0.001 par value, 5,000,000 shares authorized at</w:t>
            </w: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23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and at December 31, 2024; 24,610 shares issued and</w:t>
            </w: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6230" w:type="dxa"/>
            <w:vAlign w:val="bottom"/>
          </w:tcPr>
          <w:p>
            <w:pPr>
              <w:spacing w:after="0"/>
              <w:rPr>
                <w:sz w:val="20"/>
                <w:szCs w:val="20"/>
                <w:color w:val="auto"/>
              </w:rPr>
            </w:pPr>
            <w:r>
              <w:rPr>
                <w:rFonts w:ascii="Times New Roman" w:cs="Times New Roman" w:eastAsia="Times New Roman" w:hAnsi="Times New Roman"/>
                <w:sz w:val="20"/>
                <w:szCs w:val="20"/>
                <w:color w:val="auto"/>
              </w:rPr>
              <w:t>12,232 shares outstanding at December 31, 2025 and at December 31, 2024</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45,005</w:t>
            </w:r>
          </w:p>
        </w:tc>
        <w:tc>
          <w:tcPr>
            <w:tcW w:w="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45,005</w:t>
            </w:r>
          </w:p>
        </w:tc>
        <w:tc>
          <w:tcPr>
            <w:tcW w:w="80" w:type="dxa"/>
            <w:vAlign w:val="bottom"/>
          </w:tcPr>
          <w:p>
            <w:pPr>
              <w:spacing w:after="0"/>
              <w:rPr>
                <w:sz w:val="21"/>
                <w:szCs w:val="21"/>
                <w:color w:val="auto"/>
              </w:rPr>
            </w:pPr>
          </w:p>
        </w:tc>
      </w:tr>
      <w:tr>
        <w:trPr>
          <w:trHeight w:val="245"/>
        </w:trPr>
        <w:tc>
          <w:tcPr>
            <w:tcW w:w="623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spacing w:after="0"/>
              <w:rPr>
                <w:sz w:val="21"/>
                <w:szCs w:val="21"/>
                <w:color w:val="auto"/>
              </w:rPr>
            </w:pPr>
          </w:p>
        </w:tc>
        <w:tc>
          <w:tcPr>
            <w:tcW w:w="7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spacing w:after="0"/>
              <w:rPr>
                <w:sz w:val="21"/>
                <w:szCs w:val="21"/>
                <w:color w:val="auto"/>
              </w:rPr>
            </w:pPr>
          </w:p>
        </w:tc>
        <w:tc>
          <w:tcPr>
            <w:tcW w:w="80" w:type="dxa"/>
            <w:vAlign w:val="bottom"/>
            <w:shd w:val="clear" w:color="auto" w:fill="E7E7E7"/>
          </w:tcPr>
          <w:p>
            <w:pPr>
              <w:spacing w:after="0"/>
              <w:rPr>
                <w:sz w:val="21"/>
                <w:szCs w:val="21"/>
                <w:color w:val="auto"/>
              </w:rPr>
            </w:pPr>
          </w:p>
        </w:tc>
      </w:tr>
      <w:tr>
        <w:trPr>
          <w:trHeight w:val="222"/>
        </w:trPr>
        <w:tc>
          <w:tcPr>
            <w:tcW w:w="623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Common stock, $0.001 par value; 100,000,000 shares authorized at</w:t>
            </w: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23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December 31, 2025 and at December 31, 2024; 27,550,222 shares and</w:t>
            </w: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623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21,666,012 shares issued and outstanding at December 31, 2025 and</w:t>
            </w: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2"/>
        </w:trPr>
        <w:tc>
          <w:tcPr>
            <w:tcW w:w="623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December 31, 2024, respectively</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1"/>
                <w:szCs w:val="21"/>
                <w:color w:val="auto"/>
              </w:rPr>
            </w:pPr>
          </w:p>
        </w:tc>
      </w:tr>
      <w:tr>
        <w:trPr>
          <w:trHeight w:val="244"/>
        </w:trPr>
        <w:tc>
          <w:tcPr>
            <w:tcW w:w="623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373,133</w:t>
            </w:r>
          </w:p>
        </w:tc>
        <w:tc>
          <w:tcPr>
            <w:tcW w:w="7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360,697</w:t>
            </w:r>
          </w:p>
        </w:tc>
        <w:tc>
          <w:tcPr>
            <w:tcW w:w="80" w:type="dxa"/>
            <w:vAlign w:val="bottom"/>
            <w:shd w:val="clear" w:color="auto" w:fill="E7E7E7"/>
          </w:tcPr>
          <w:p>
            <w:pPr>
              <w:spacing w:after="0"/>
              <w:rPr>
                <w:sz w:val="21"/>
                <w:szCs w:val="21"/>
                <w:color w:val="auto"/>
              </w:rPr>
            </w:pPr>
          </w:p>
        </w:tc>
      </w:tr>
      <w:tr>
        <w:trPr>
          <w:trHeight w:val="245"/>
        </w:trPr>
        <w:tc>
          <w:tcPr>
            <w:tcW w:w="623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7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44"/>
        </w:trPr>
        <w:tc>
          <w:tcPr>
            <w:tcW w:w="623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(401,271</w:t>
            </w:r>
          </w:p>
        </w:tc>
        <w:tc>
          <w:tcPr>
            <w:tcW w:w="7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(351,400</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36"/>
        </w:trPr>
        <w:tc>
          <w:tcPr>
            <w:tcW w:w="623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 convertible preferred stock and stockholders’ equity</w:t>
            </w:r>
          </w:p>
        </w:tc>
        <w:tc>
          <w:tcPr>
            <w:tcW w:w="17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24,158</w:t>
            </w:r>
          </w:p>
        </w:tc>
        <w:tc>
          <w:tcPr>
            <w:tcW w:w="7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62,190</w:t>
            </w:r>
          </w:p>
        </w:tc>
        <w:tc>
          <w:tcPr>
            <w:tcW w:w="80" w:type="dxa"/>
            <w:vAlign w:val="bottom"/>
          </w:tcPr>
          <w:p>
            <w:pPr>
              <w:spacing w:after="0"/>
              <w:rPr>
                <w:sz w:val="20"/>
                <w:szCs w:val="20"/>
                <w:color w:val="auto"/>
              </w:rPr>
            </w:pPr>
          </w:p>
        </w:tc>
      </w:tr>
      <w:tr>
        <w:trPr>
          <w:trHeight w:val="20"/>
        </w:trPr>
        <w:tc>
          <w:tcPr>
            <w:tcW w:w="623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-4686935</wp:posOffset>
                </wp:positionV>
                <wp:extent cx="59436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9.0499pt" to="468pt,-369.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-3750945</wp:posOffset>
                </wp:positionV>
                <wp:extent cx="59436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5.3499pt" to="468pt,-295.3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4061460</wp:posOffset>
                </wp:positionH>
                <wp:positionV relativeFrom="paragraph">
                  <wp:posOffset>-3435350</wp:posOffset>
                </wp:positionV>
                <wp:extent cx="83439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43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8pt,-270.4999pt" to="385.5pt,-270.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5050790</wp:posOffset>
                </wp:positionH>
                <wp:positionV relativeFrom="paragraph">
                  <wp:posOffset>-3435350</wp:posOffset>
                </wp:positionV>
                <wp:extent cx="83566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6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7pt,-270.4999pt" to="463.5pt,-270.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-2786380</wp:posOffset>
                </wp:positionV>
                <wp:extent cx="59436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9.3999pt" to="468pt,-219.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-494030</wp:posOffset>
                </wp:positionV>
                <wp:extent cx="59436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8999pt" to="468pt,-38.8999pt" o:allowincell="f" strokecolor="#FFFFFF" strokeweight="0.72pt"/>
            </w:pict>
          </mc:Fallback>
        </mc:AlternateConten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360"/>
          </w:cols>
          <w:pgMar w:left="1440" w:top="1416" w:right="1440" w:bottom="177"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REIN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E7E7E7"/>
            </w:tcBorders>
          </w:tcPr>
          <w:p>
            <w:pPr>
              <w:spacing w:after="0"/>
              <w:rPr>
                <w:sz w:val="16"/>
                <w:szCs w:val="16"/>
                <w:color w:val="auto"/>
              </w:rPr>
            </w:pPr>
          </w:p>
        </w:tc>
        <w:tc>
          <w:tcPr>
            <w:tcW w:w="160" w:type="dxa"/>
            <w:vAlign w:val="bottom"/>
            <w:tcBorders>
              <w:bottom w:val="single" w:sz="8" w:color="E7E7E7"/>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 w:type="dxa"/>
            <w:vAlign w:val="bottom"/>
            <w:tcBorders>
              <w:top w:val="single" w:sz="8" w:color="auto"/>
              <w:bottom w:val="single" w:sz="8" w:color="E7E7E7"/>
            </w:tcBorders>
          </w:tcPr>
          <w:p>
            <w:pPr>
              <w:spacing w:after="0"/>
              <w:rPr>
                <w:sz w:val="16"/>
                <w:szCs w:val="16"/>
                <w:color w:val="auto"/>
              </w:rPr>
            </w:pPr>
          </w:p>
        </w:tc>
        <w:tc>
          <w:tcPr>
            <w:tcW w:w="150" w:type="dxa"/>
            <w:vAlign w:val="bottom"/>
            <w:tcBorders>
              <w:top w:val="single" w:sz="8" w:color="auto"/>
              <w:bottom w:val="single" w:sz="8" w:color="E7E7E7"/>
            </w:tcBorders>
          </w:tcPr>
          <w:p>
            <w:pPr>
              <w:spacing w:after="0"/>
              <w:rPr>
                <w:sz w:val="16"/>
                <w:szCs w:val="16"/>
                <w:color w:val="auto"/>
              </w:rPr>
            </w:pPr>
          </w:p>
        </w:tc>
        <w:tc>
          <w:tcPr>
            <w:tcW w:w="20" w:type="dxa"/>
            <w:vAlign w:val="bottom"/>
            <w:tcBorders>
              <w:top w:val="single" w:sz="8" w:color="auto"/>
              <w:bottom w:val="single" w:sz="8" w:color="E7E7E7"/>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7E7E7"/>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Revenue</w:t>
            </w:r>
          </w:p>
        </w:tc>
        <w:tc>
          <w:tcPr>
            <w:tcW w:w="160" w:type="dxa"/>
            <w:vAlign w:val="bottom"/>
            <w:tcBorders>
              <w:right w:val="single" w:sz="8" w:color="E7E7E7"/>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shd w:val="clear" w:color="auto" w:fill="E7E7E7"/>
          </w:tcPr>
          <w:p>
            <w:pPr>
              <w:spacing w:after="0"/>
              <w:rPr>
                <w:sz w:val="20"/>
                <w:szCs w:val="20"/>
                <w:color w:val="auto"/>
              </w:rPr>
            </w:pPr>
          </w:p>
        </w:tc>
        <w:tc>
          <w:tcPr>
            <w:tcW w:w="1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tcBorders>
              <w:right w:val="single" w:sz="8" w:color="E7E7E7"/>
            </w:tcBorders>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11,029</w:t>
            </w:r>
          </w:p>
        </w:tc>
        <w:tc>
          <w:tcPr>
            <w:tcW w:w="9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14,248</w:t>
            </w: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10,902</w:t>
            </w:r>
          </w:p>
        </w:tc>
        <w:tc>
          <w:tcPr>
            <w:tcW w:w="9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Impairment loss on intangible assets</w:t>
            </w:r>
          </w:p>
        </w:tc>
        <w:tc>
          <w:tcPr>
            <w:tcW w:w="160" w:type="dxa"/>
            <w:vAlign w:val="bottom"/>
            <w:tcBorders>
              <w:right w:val="single" w:sz="8" w:color="E7E7E7"/>
            </w:tcBorders>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28,700</w:t>
            </w:r>
          </w:p>
        </w:tc>
        <w:tc>
          <w:tcPr>
            <w:tcW w:w="9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37,000</w:t>
            </w: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0" w:type="dxa"/>
            <w:vAlign w:val="bottom"/>
            <w:tcBorders>
              <w:bottom w:val="single" w:sz="8" w:color="E7E7E7"/>
            </w:tcBorders>
            <w:gridSpan w:val="2"/>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50,631</w:t>
            </w:r>
          </w:p>
        </w:tc>
        <w:tc>
          <w:tcPr>
            <w:tcW w:w="90" w:type="dxa"/>
            <w:vAlign w:val="bottom"/>
            <w:tcBorders>
              <w:bottom w:val="single" w:sz="8" w:color="E7E7E7"/>
            </w:tcBorders>
          </w:tcPr>
          <w:p>
            <w:pPr>
              <w:spacing w:after="0"/>
              <w:rPr>
                <w:sz w:val="20"/>
                <w:szCs w:val="20"/>
                <w:color w:val="auto"/>
              </w:rPr>
            </w:pPr>
          </w:p>
        </w:tc>
        <w:tc>
          <w:tcPr>
            <w:tcW w:w="15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65,112</w:t>
            </w:r>
          </w:p>
        </w:tc>
        <w:tc>
          <w:tcPr>
            <w:tcW w:w="80" w:type="dxa"/>
            <w:vAlign w:val="bottom"/>
            <w:tcBorders>
              <w:bottom w:val="single" w:sz="8" w:color="E7E7E7"/>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60" w:type="dxa"/>
            <w:vAlign w:val="bottom"/>
            <w:tcBorders>
              <w:right w:val="single" w:sz="8" w:color="E7E7E7"/>
            </w:tcBorders>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(50,631</w:t>
            </w:r>
          </w:p>
        </w:tc>
        <w:tc>
          <w:tcPr>
            <w:tcW w:w="9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(65,112</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244"/>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9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160" w:type="dxa"/>
            <w:vAlign w:val="bottom"/>
            <w:tcBorders>
              <w:right w:val="single" w:sz="8" w:color="E7E7E7"/>
            </w:tcBorders>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90" w:type="dxa"/>
            <w:vAlign w:val="bottom"/>
            <w:shd w:val="clear" w:color="auto" w:fill="E7E7E7"/>
          </w:tcPr>
          <w:p>
            <w:pPr>
              <w:spacing w:after="0"/>
              <w:rPr>
                <w:sz w:val="21"/>
                <w:szCs w:val="21"/>
                <w:color w:val="auto"/>
              </w:rPr>
            </w:pP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400" w:type="dxa"/>
            <w:vAlign w:val="bottom"/>
            <w:tcBorders>
              <w:bottom w:val="single" w:sz="8" w:color="E7E7E7"/>
            </w:tcBorders>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(49,871</w:t>
            </w:r>
          </w:p>
        </w:tc>
        <w:tc>
          <w:tcPr>
            <w:tcW w:w="9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50" w:type="dxa"/>
            <w:vAlign w:val="bottom"/>
            <w:tcBorders>
              <w:bottom w:val="single" w:sz="8" w:color="E7E7E7"/>
            </w:tcBorders>
          </w:tcPr>
          <w:p>
            <w:pPr>
              <w:spacing w:after="0"/>
              <w:rPr>
                <w:sz w:val="23"/>
                <w:szCs w:val="23"/>
                <w:color w:val="auto"/>
              </w:rPr>
            </w:pPr>
          </w:p>
        </w:tc>
        <w:tc>
          <w:tcPr>
            <w:tcW w:w="20" w:type="dxa"/>
            <w:vAlign w:val="bottom"/>
            <w:tcBorders>
              <w:bottom w:val="single" w:sz="8" w:color="E7E7E7"/>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(62,883</w:t>
            </w: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5"/>
        </w:trPr>
        <w:tc>
          <w:tcPr>
            <w:tcW w:w="6240" w:type="dxa"/>
            <w:vAlign w:val="bottom"/>
            <w:tcBorders>
              <w:bottom w:val="single" w:sz="8" w:color="E7E7E7"/>
            </w:tcBorders>
            <w:shd w:val="clear" w:color="auto" w:fill="E7E7E7"/>
          </w:tcPr>
          <w:p>
            <w:pPr>
              <w:spacing w:after="0" w:line="215" w:lineRule="exact"/>
              <w:rPr>
                <w:sz w:val="20"/>
                <w:szCs w:val="20"/>
                <w:color w:val="auto"/>
              </w:rPr>
            </w:pPr>
            <w:r>
              <w:rPr>
                <w:rFonts w:ascii="Times New Roman" w:cs="Times New Roman" w:eastAsia="Times New Roman" w:hAnsi="Times New Roman"/>
                <w:sz w:val="20"/>
                <w:szCs w:val="20"/>
                <w:color w:val="auto"/>
              </w:rPr>
              <w:t>Net loss per share—basic and diluted</w:t>
            </w:r>
          </w:p>
        </w:tc>
        <w:tc>
          <w:tcPr>
            <w:tcW w:w="160" w:type="dxa"/>
            <w:vAlign w:val="bottom"/>
            <w:tcBorders>
              <w:bottom w:val="single" w:sz="8" w:color="E7E7E7"/>
              <w:right w:val="single" w:sz="8" w:color="E7E7E7"/>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00" w:type="dxa"/>
            <w:vAlign w:val="bottom"/>
            <w:tcBorders>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rPr>
              <w:t>(1.96</w:t>
            </w:r>
          </w:p>
        </w:tc>
        <w:tc>
          <w:tcPr>
            <w:tcW w:w="90" w:type="dxa"/>
            <w:vAlign w:val="bottom"/>
            <w:tcBorders>
              <w:bottom w:val="single" w:sz="8" w:color="E7E7E7"/>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50" w:type="dxa"/>
            <w:vAlign w:val="bottom"/>
            <w:tcBorders>
              <w:bottom w:val="single" w:sz="8" w:color="E7E7E7"/>
            </w:tcBorders>
            <w:shd w:val="clear" w:color="auto" w:fill="E7E7E7"/>
          </w:tcPr>
          <w:p>
            <w:pPr>
              <w:spacing w:after="0"/>
              <w:rPr>
                <w:sz w:val="20"/>
                <w:szCs w:val="20"/>
                <w:color w:val="auto"/>
              </w:rPr>
            </w:pPr>
          </w:p>
        </w:tc>
        <w:tc>
          <w:tcPr>
            <w:tcW w:w="20" w:type="dxa"/>
            <w:vAlign w:val="bottom"/>
            <w:tcBorders>
              <w:bottom w:val="single" w:sz="8" w:color="E7E7E7"/>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rPr>
              <w:t>(3.51</w:t>
            </w:r>
          </w:p>
        </w:tc>
        <w:tc>
          <w:tcPr>
            <w:tcW w:w="80" w:type="dxa"/>
            <w:vAlign w:val="bottom"/>
            <w:tcBorders>
              <w:bottom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outstanding—basic and diluted</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00" w:type="dxa"/>
            <w:vAlign w:val="bottom"/>
            <w:tcBorders>
              <w:bottom w:val="single" w:sz="8" w:color="E7E7E7"/>
            </w:tcBorders>
            <w:gridSpan w:val="2"/>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25,444,795</w:t>
            </w:r>
          </w:p>
        </w:tc>
        <w:tc>
          <w:tcPr>
            <w:tcW w:w="90" w:type="dxa"/>
            <w:vAlign w:val="bottom"/>
            <w:tcBorders>
              <w:bottom w:val="single" w:sz="8" w:color="E7E7E7"/>
            </w:tcBorders>
          </w:tcPr>
          <w:p>
            <w:pPr>
              <w:spacing w:after="0"/>
              <w:rPr>
                <w:sz w:val="21"/>
                <w:szCs w:val="21"/>
                <w:color w:val="auto"/>
              </w:rPr>
            </w:pPr>
          </w:p>
        </w:tc>
        <w:tc>
          <w:tcPr>
            <w:tcW w:w="15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17,938,899</w:t>
            </w:r>
          </w:p>
        </w:tc>
        <w:tc>
          <w:tcPr>
            <w:tcW w:w="80" w:type="dxa"/>
            <w:vAlign w:val="bottom"/>
            <w:tcBorders>
              <w:bottom w:val="single" w:sz="8" w:color="E7E7E7"/>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240" w:type="dxa"/>
            <w:vAlign w:val="bottom"/>
            <w:shd w:val="clear" w:color="auto" w:fill="E7E7E7"/>
          </w:tcPr>
          <w:p>
            <w:pPr>
              <w:spacing w:after="0" w:line="228" w:lineRule="exact"/>
              <w:rPr>
                <w:sz w:val="20"/>
                <w:szCs w:val="20"/>
                <w:color w:val="auto"/>
              </w:rPr>
            </w:pPr>
            <w:r>
              <w:rPr>
                <w:rFonts w:ascii="Times New Roman" w:cs="Times New Roman" w:eastAsia="Times New Roman" w:hAnsi="Times New Roman"/>
                <w:sz w:val="20"/>
                <w:szCs w:val="20"/>
                <w:color w:val="auto"/>
              </w:rPr>
              <w:t>Comprehensive loss:</w:t>
            </w:r>
          </w:p>
        </w:tc>
        <w:tc>
          <w:tcPr>
            <w:tcW w:w="160" w:type="dxa"/>
            <w:vAlign w:val="bottom"/>
            <w:tcBorders>
              <w:right w:val="single" w:sz="8" w:color="E7E7E7"/>
            </w:tcBorders>
            <w:shd w:val="clear" w:color="auto" w:fill="E7E7E7"/>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15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220" w:type="dxa"/>
            <w:vAlign w:val="bottom"/>
            <w:shd w:val="clear" w:color="auto" w:fill="E7E7E7"/>
          </w:tcPr>
          <w:p>
            <w:pPr>
              <w:spacing w:after="0"/>
              <w:rPr>
                <w:sz w:val="19"/>
                <w:szCs w:val="19"/>
                <w:color w:val="auto"/>
              </w:rPr>
            </w:pPr>
          </w:p>
        </w:tc>
        <w:tc>
          <w:tcPr>
            <w:tcW w:w="80" w:type="dxa"/>
            <w:vAlign w:val="bottom"/>
            <w:shd w:val="clear" w:color="auto" w:fill="E7E7E7"/>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24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Net loss</w:t>
            </w:r>
          </w:p>
        </w:tc>
        <w:tc>
          <w:tcPr>
            <w:tcW w:w="16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20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(49,871</w:t>
            </w:r>
          </w:p>
        </w:tc>
        <w:tc>
          <w:tcPr>
            <w:tcW w:w="9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5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2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(62,883</w:t>
            </w: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224"/>
        </w:trPr>
        <w:tc>
          <w:tcPr>
            <w:tcW w:w="6240" w:type="dxa"/>
            <w:vAlign w:val="bottom"/>
            <w:shd w:val="clear" w:color="auto" w:fill="E7E7E7"/>
          </w:tcPr>
          <w:p>
            <w:pPr>
              <w:spacing w:after="0" w:line="224" w:lineRule="exact"/>
              <w:rPr>
                <w:sz w:val="20"/>
                <w:szCs w:val="20"/>
                <w:color w:val="auto"/>
              </w:rPr>
            </w:pPr>
            <w:r>
              <w:rPr>
                <w:rFonts w:ascii="Times New Roman" w:cs="Times New Roman" w:eastAsia="Times New Roman" w:hAnsi="Times New Roman"/>
                <w:sz w:val="20"/>
                <w:szCs w:val="20"/>
                <w:color w:val="auto"/>
              </w:rPr>
              <w:t>Other comprehensive gain (loss):</w:t>
            </w:r>
          </w:p>
        </w:tc>
        <w:tc>
          <w:tcPr>
            <w:tcW w:w="160" w:type="dxa"/>
            <w:vAlign w:val="bottom"/>
            <w:tcBorders>
              <w:right w:val="single" w:sz="8" w:color="E7E7E7"/>
            </w:tcBorders>
            <w:shd w:val="clear" w:color="auto" w:fill="E7E7E7"/>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15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220" w:type="dxa"/>
            <w:vAlign w:val="bottom"/>
            <w:shd w:val="clear" w:color="auto" w:fill="E7E7E7"/>
          </w:tcPr>
          <w:p>
            <w:pPr>
              <w:spacing w:after="0"/>
              <w:rPr>
                <w:sz w:val="19"/>
                <w:szCs w:val="19"/>
                <w:color w:val="auto"/>
              </w:rPr>
            </w:pPr>
          </w:p>
        </w:tc>
        <w:tc>
          <w:tcPr>
            <w:tcW w:w="80" w:type="dxa"/>
            <w:vAlign w:val="bottom"/>
            <w:shd w:val="clear" w:color="auto" w:fill="E7E7E7"/>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Unrealized (loss) gain on investments, net of tax of $0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9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60" w:type="dxa"/>
            <w:vAlign w:val="bottom"/>
            <w:tcBorders>
              <w:right w:val="single" w:sz="8" w:color="E7E7E7"/>
            </w:tcBorders>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9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00" w:type="dxa"/>
            <w:vAlign w:val="bottom"/>
            <w:tcBorders>
              <w:bottom w:val="single" w:sz="8" w:color="E7E7E7"/>
            </w:tcBorders>
            <w:gridSpan w:val="2"/>
          </w:tcPr>
          <w:p>
            <w:pPr>
              <w:ind w:left="400"/>
              <w:spacing w:after="0"/>
              <w:rPr>
                <w:sz w:val="20"/>
                <w:szCs w:val="20"/>
                <w:color w:val="auto"/>
              </w:rPr>
            </w:pPr>
            <w:r>
              <w:rPr>
                <w:rFonts w:ascii="Times New Roman" w:cs="Times New Roman" w:eastAsia="Times New Roman" w:hAnsi="Times New Roman"/>
                <w:sz w:val="20"/>
                <w:szCs w:val="20"/>
                <w:color w:val="auto"/>
              </w:rPr>
              <w:t>Total other comprehensive (loss) gain</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9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5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tcBorders>
              <w:bottom w:val="single" w:sz="8" w:color="E7E7E7"/>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Total comprehensive loss</w:t>
            </w:r>
          </w:p>
        </w:tc>
        <w:tc>
          <w:tcPr>
            <w:tcW w:w="160" w:type="dxa"/>
            <w:vAlign w:val="bottom"/>
            <w:tcBorders>
              <w:right w:val="single" w:sz="8" w:color="E7E7E7"/>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(49,915</w:t>
            </w:r>
          </w:p>
        </w:tc>
        <w:tc>
          <w:tcPr>
            <w:tcW w:w="9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50" w:type="dxa"/>
            <w:vAlign w:val="bottom"/>
            <w:shd w:val="clear" w:color="auto" w:fill="E7E7E7"/>
          </w:tcPr>
          <w:p>
            <w:pPr>
              <w:spacing w:after="0"/>
              <w:rPr>
                <w:sz w:val="20"/>
                <w:szCs w:val="20"/>
                <w:color w:val="auto"/>
              </w:rPr>
            </w:pPr>
          </w:p>
        </w:tc>
        <w:tc>
          <w:tcPr>
            <w:tcW w:w="20" w:type="dxa"/>
            <w:vAlign w:val="bottom"/>
            <w:tcBorders>
              <w:bottom w:val="single" w:sz="8" w:color="auto"/>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(62,838</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4058920</wp:posOffset>
                </wp:positionH>
                <wp:positionV relativeFrom="paragraph">
                  <wp:posOffset>-3214370</wp:posOffset>
                </wp:positionV>
                <wp:extent cx="182753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753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6pt,-253.0999pt" to="463.5pt,-253.0999pt" o:allowincell="f" strokecolor="#FFFFFF" strokeweight="0.7199pt"/>
            </w:pict>
          </mc:Fallback>
        </mc:AlternateContent>
        <w:drawing>
          <wp:anchor simplePos="0" relativeHeight="251657728" behindDoc="1" locked="0" layoutInCell="0" allowOverlap="1">
            <wp:simplePos x="0" y="0"/>
            <wp:positionH relativeFrom="column">
              <wp:posOffset>0</wp:posOffset>
            </wp:positionH>
            <wp:positionV relativeFrom="paragraph">
              <wp:posOffset>-2938145</wp:posOffset>
            </wp:positionV>
            <wp:extent cx="588645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extLst>
                    </a:blip>
                    <a:srcRect/>
                    <a:stretch>
                      <a:fillRect/>
                    </a:stretch>
                  </pic:blipFill>
                  <pic:spPr bwMode="auto">
                    <a:xfrm>
                      <a:off x="0" y="0"/>
                      <a:ext cx="5886450" cy="1803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-2611120</wp:posOffset>
                </wp:positionV>
                <wp:extent cx="59436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5999pt" to="468pt,-205.5999pt" o:allowincell="f" strokecolor="#FFFFFF" strokeweight="0.7199pt"/>
            </w:pict>
          </mc:Fallback>
        </mc:AlternateContent>
        <w:drawing>
          <wp:anchor simplePos="0" relativeHeight="251657728" behindDoc="1" locked="0" layoutInCell="0" allowOverlap="1">
            <wp:simplePos x="0" y="0"/>
            <wp:positionH relativeFrom="column">
              <wp:posOffset>0</wp:posOffset>
            </wp:positionH>
            <wp:positionV relativeFrom="paragraph">
              <wp:posOffset>-1138555</wp:posOffset>
            </wp:positionV>
            <wp:extent cx="5943600" cy="180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extLst>
                    </a:blip>
                    <a:srcRect/>
                    <a:stretch>
                      <a:fillRect/>
                    </a:stretch>
                  </pic:blipFill>
                  <pic:spPr bwMode="auto">
                    <a:xfrm>
                      <a:off x="0" y="0"/>
                      <a:ext cx="5943600" cy="18097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-828040</wp:posOffset>
            </wp:positionV>
            <wp:extent cx="86042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extLst>
                    </a:blip>
                    <a:srcRect/>
                    <a:stretch>
                      <a:fillRect/>
                    </a:stretch>
                  </pic:blipFill>
                  <pic:spPr bwMode="auto">
                    <a:xfrm>
                      <a:off x="0" y="0"/>
                      <a:ext cx="860425" cy="18034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1416" w:right="1440" w:bottom="177"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REIN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 OF CHANGES IN CONVERTIBLE PREFERRED STOCK AND</w:t>
      </w: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EQUITY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1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Series X Non-Voting</w:t>
            </w:r>
          </w:p>
        </w:tc>
        <w:tc>
          <w:tcPr>
            <w:tcW w:w="100" w:type="dxa"/>
            <w:vAlign w:val="bottom"/>
            <w:tcBorders>
              <w:right w:val="single" w:sz="8" w:color="auto"/>
            </w:tcBorders>
            <w:shd w:val="clear" w:color="auto" w:fill="000000"/>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1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Convertible Preferred</w:t>
            </w:r>
          </w:p>
        </w:tc>
        <w:tc>
          <w:tcPr>
            <w:tcW w:w="100" w:type="dxa"/>
            <w:vAlign w:val="bottom"/>
            <w:tcBorders>
              <w:right w:val="single" w:sz="8" w:color="auto"/>
            </w:tcBorders>
            <w:shd w:val="clear" w:color="auto" w:fill="000000"/>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1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491"/>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shd w:val="clear" w:color="auto" w:fill="000000"/>
          </w:tcPr>
          <w:p>
            <w:pPr>
              <w:spacing w:after="0"/>
              <w:rPr>
                <w:sz w:val="14"/>
                <w:szCs w:val="14"/>
                <w:color w:val="auto"/>
              </w:rPr>
            </w:pPr>
          </w:p>
        </w:tc>
        <w:tc>
          <w:tcPr>
            <w:tcW w:w="144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Total Convertible</w:t>
            </w:r>
          </w:p>
        </w:tc>
        <w:tc>
          <w:tcPr>
            <w:tcW w:w="0" w:type="dxa"/>
            <w:vAlign w:val="bottom"/>
          </w:tcPr>
          <w:p>
            <w:pPr>
              <w:spacing w:after="0"/>
              <w:rPr>
                <w:sz w:val="1"/>
                <w:szCs w:val="1"/>
                <w:color w:val="auto"/>
              </w:rPr>
            </w:pPr>
          </w:p>
        </w:tc>
      </w:tr>
      <w:tr>
        <w:trPr>
          <w:trHeight w:val="140"/>
        </w:trPr>
        <w:tc>
          <w:tcPr>
            <w:tcW w:w="201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1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0" w:type="dxa"/>
            <w:vAlign w:val="bottom"/>
          </w:tcPr>
          <w:p>
            <w:pPr>
              <w:spacing w:after="0"/>
              <w:rPr>
                <w:sz w:val="1"/>
                <w:szCs w:val="1"/>
                <w:color w:val="auto"/>
              </w:rPr>
            </w:pPr>
          </w:p>
        </w:tc>
      </w:tr>
      <w:tr>
        <w:trPr>
          <w:trHeight w:val="150"/>
        </w:trPr>
        <w:tc>
          <w:tcPr>
            <w:tcW w:w="201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shd w:val="clear" w:color="auto" w:fill="000000"/>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and Stockholders’</w:t>
            </w:r>
          </w:p>
        </w:tc>
        <w:tc>
          <w:tcPr>
            <w:tcW w:w="0" w:type="dxa"/>
            <w:vAlign w:val="bottom"/>
          </w:tcPr>
          <w:p>
            <w:pPr>
              <w:spacing w:after="0"/>
              <w:rPr>
                <w:sz w:val="1"/>
                <w:szCs w:val="1"/>
                <w:color w:val="auto"/>
              </w:rPr>
            </w:pPr>
          </w:p>
        </w:tc>
      </w:tr>
      <w:tr>
        <w:trPr>
          <w:trHeight w:val="163"/>
        </w:trPr>
        <w:tc>
          <w:tcPr>
            <w:tcW w:w="2010" w:type="dxa"/>
            <w:vAlign w:val="bottom"/>
            <w:tcBorders>
              <w:bottom w:val="single" w:sz="8" w:color="E7E7E7"/>
            </w:tcBorders>
          </w:tcPr>
          <w:p>
            <w:pPr>
              <w:spacing w:after="0"/>
              <w:rPr>
                <w:sz w:val="14"/>
                <w:szCs w:val="14"/>
                <w:color w:val="auto"/>
              </w:rPr>
            </w:pPr>
          </w:p>
        </w:tc>
        <w:tc>
          <w:tcPr>
            <w:tcW w:w="90" w:type="dxa"/>
            <w:vAlign w:val="bottom"/>
            <w:tcBorders>
              <w:bottom w:val="single" w:sz="8" w:color="E7E7E7"/>
            </w:tcBorders>
          </w:tcPr>
          <w:p>
            <w:pPr>
              <w:spacing w:after="0"/>
              <w:rPr>
                <w:sz w:val="14"/>
                <w:szCs w:val="14"/>
                <w:color w:val="auto"/>
              </w:rPr>
            </w:pPr>
          </w:p>
        </w:tc>
        <w:tc>
          <w:tcPr>
            <w:tcW w:w="20" w:type="dxa"/>
            <w:vAlign w:val="bottom"/>
            <w:tcBorders>
              <w:bottom w:val="single" w:sz="8" w:color="E7E7E7"/>
            </w:tcBorders>
          </w:tcPr>
          <w:p>
            <w:pPr>
              <w:spacing w:after="0"/>
              <w:rPr>
                <w:sz w:val="14"/>
                <w:szCs w:val="14"/>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E7E7E7"/>
            </w:tcBorders>
          </w:tcPr>
          <w:p>
            <w:pPr>
              <w:spacing w:after="0"/>
              <w:rPr>
                <w:sz w:val="14"/>
                <w:szCs w:val="14"/>
                <w:color w:val="auto"/>
              </w:rPr>
            </w:pPr>
          </w:p>
        </w:tc>
        <w:tc>
          <w:tcPr>
            <w:tcW w:w="20" w:type="dxa"/>
            <w:vAlign w:val="bottom"/>
            <w:tcBorders>
              <w:bottom w:val="single" w:sz="8" w:color="E7E7E7"/>
            </w:tcBorders>
          </w:tcPr>
          <w:p>
            <w:pPr>
              <w:spacing w:after="0"/>
              <w:rPr>
                <w:sz w:val="14"/>
                <w:szCs w:val="14"/>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right w:val="single" w:sz="8" w:color="auto"/>
            </w:tcBorders>
            <w:shd w:val="clear" w:color="auto" w:fill="000000"/>
          </w:tcPr>
          <w:p>
            <w:pPr>
              <w:spacing w:after="0"/>
              <w:rPr>
                <w:sz w:val="14"/>
                <w:szCs w:val="14"/>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E7E7E7"/>
            </w:tcBorders>
          </w:tcPr>
          <w:p>
            <w:pPr>
              <w:spacing w:after="0"/>
              <w:rPr>
                <w:sz w:val="14"/>
                <w:szCs w:val="14"/>
                <w:color w:val="auto"/>
              </w:rPr>
            </w:pPr>
          </w:p>
        </w:tc>
        <w:tc>
          <w:tcPr>
            <w:tcW w:w="20" w:type="dxa"/>
            <w:vAlign w:val="bottom"/>
            <w:tcBorders>
              <w:bottom w:val="single" w:sz="8" w:color="E7E7E7"/>
            </w:tcBorders>
          </w:tcPr>
          <w:p>
            <w:pPr>
              <w:spacing w:after="0"/>
              <w:rPr>
                <w:sz w:val="14"/>
                <w:szCs w:val="14"/>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E7E7E7"/>
            </w:tcBorders>
          </w:tcPr>
          <w:p>
            <w:pPr>
              <w:spacing w:after="0"/>
              <w:rPr>
                <w:sz w:val="14"/>
                <w:szCs w:val="14"/>
                <w:color w:val="auto"/>
              </w:rPr>
            </w:pPr>
          </w:p>
        </w:tc>
        <w:tc>
          <w:tcPr>
            <w:tcW w:w="20" w:type="dxa"/>
            <w:vAlign w:val="bottom"/>
            <w:tcBorders>
              <w:bottom w:val="single" w:sz="8" w:color="E7E7E7"/>
            </w:tcBorders>
          </w:tcPr>
          <w:p>
            <w:pPr>
              <w:spacing w:after="0"/>
              <w:rPr>
                <w:sz w:val="14"/>
                <w:szCs w:val="14"/>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E7E7E7"/>
            </w:tcBorders>
          </w:tcPr>
          <w:p>
            <w:pPr>
              <w:spacing w:after="0"/>
              <w:rPr>
                <w:sz w:val="14"/>
                <w:szCs w:val="14"/>
                <w:color w:val="auto"/>
              </w:rPr>
            </w:pPr>
          </w:p>
        </w:tc>
        <w:tc>
          <w:tcPr>
            <w:tcW w:w="20" w:type="dxa"/>
            <w:vAlign w:val="bottom"/>
            <w:tcBorders>
              <w:bottom w:val="single" w:sz="8" w:color="E7E7E7"/>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Borders>
              <w:bottom w:val="single" w:sz="8" w:color="E7E7E7"/>
            </w:tcBorders>
          </w:tcPr>
          <w:p>
            <w:pPr>
              <w:spacing w:after="0"/>
              <w:rPr>
                <w:sz w:val="14"/>
                <w:szCs w:val="14"/>
                <w:color w:val="auto"/>
              </w:rPr>
            </w:pPr>
          </w:p>
        </w:tc>
        <w:tc>
          <w:tcPr>
            <w:tcW w:w="20" w:type="dxa"/>
            <w:vAlign w:val="bottom"/>
            <w:tcBorders>
              <w:bottom w:val="single" w:sz="8" w:color="E7E7E7"/>
            </w:tcBorders>
          </w:tcPr>
          <w:p>
            <w:pPr>
              <w:spacing w:after="0"/>
              <w:rPr>
                <w:sz w:val="14"/>
                <w:szCs w:val="14"/>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E7E7E7"/>
            </w:tcBorders>
          </w:tcPr>
          <w:p>
            <w:pPr>
              <w:spacing w:after="0"/>
              <w:rPr>
                <w:sz w:val="14"/>
                <w:szCs w:val="14"/>
                <w:color w:val="auto"/>
              </w:rPr>
            </w:pPr>
          </w:p>
        </w:tc>
        <w:tc>
          <w:tcPr>
            <w:tcW w:w="20" w:type="dxa"/>
            <w:vAlign w:val="bottom"/>
            <w:tcBorders>
              <w:bottom w:val="single" w:sz="8" w:color="E7E7E7"/>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5"/>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9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24,610</w:t>
            </w: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$91,410</w:t>
            </w: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4,885,512</w:t>
            </w:r>
          </w:p>
        </w:tc>
        <w:tc>
          <w:tcPr>
            <w:tcW w:w="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600" w:type="dxa"/>
            <w:vAlign w:val="bottom"/>
            <w:gridSpan w:val="2"/>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$295,376</w:t>
            </w: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10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$(288,517)</w:t>
            </w: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$98,297</w:t>
            </w:r>
          </w:p>
        </w:tc>
        <w:tc>
          <w:tcPr>
            <w:tcW w:w="0" w:type="dxa"/>
            <w:vAlign w:val="bottom"/>
          </w:tcPr>
          <w:p>
            <w:pPr>
              <w:spacing w:after="0"/>
              <w:rPr>
                <w:sz w:val="1"/>
                <w:szCs w:val="1"/>
                <w:color w:val="auto"/>
              </w:rPr>
            </w:pPr>
          </w:p>
        </w:tc>
      </w:tr>
      <w:tr>
        <w:trPr>
          <w:trHeight w:val="151"/>
        </w:trPr>
        <w:tc>
          <w:tcPr>
            <w:tcW w:w="212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Issuance of common stock in</w:t>
            </w: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connection with conversion of</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shd w:val="clear" w:color="auto" w:fill="000000"/>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Series X non-voting convertible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(12,378)</w:t>
            </w: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(46,405)</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12,378,000</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46,392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4,273,505</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600" w:type="dxa"/>
            <w:vAlign w:val="bottom"/>
            <w:gridSpan w:val="2"/>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10,933</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0" w:type="dxa"/>
            <w:vAlign w:val="bottom"/>
          </w:tcPr>
          <w:p>
            <w:pPr>
              <w:spacing w:after="0"/>
              <w:rPr>
                <w:sz w:val="1"/>
                <w:szCs w:val="1"/>
                <w:color w:val="auto"/>
              </w:rPr>
            </w:pPr>
          </w:p>
        </w:tc>
      </w:tr>
      <w:tr>
        <w:trPr>
          <w:trHeight w:val="175"/>
        </w:trPr>
        <w:tc>
          <w:tcPr>
            <w:tcW w:w="2010" w:type="dxa"/>
            <w:vAlign w:val="bottom"/>
          </w:tcPr>
          <w:p>
            <w:pPr>
              <w:spacing w:after="0"/>
              <w:rPr>
                <w:sz w:val="20"/>
                <w:szCs w:val="20"/>
                <w:color w:val="auto"/>
              </w:rPr>
            </w:pPr>
            <w:r>
              <w:rPr>
                <w:rFonts w:ascii="Times New Roman" w:cs="Times New Roman" w:eastAsia="Times New Roman" w:hAnsi="Times New Roman"/>
                <w:sz w:val="14"/>
                <w:szCs w:val="14"/>
                <w:color w:val="auto"/>
              </w:rPr>
              <w:t>Issuance of warrants</w:t>
            </w: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w:t>
            </w:r>
          </w:p>
        </w:tc>
        <w:tc>
          <w:tcPr>
            <w:tcW w:w="0" w:type="dxa"/>
            <w:vAlign w:val="bottom"/>
          </w:tcPr>
          <w:p>
            <w:pPr>
              <w:spacing w:after="0"/>
              <w:rPr>
                <w:sz w:val="1"/>
                <w:szCs w:val="1"/>
                <w:color w:val="auto"/>
              </w:rPr>
            </w:pPr>
          </w:p>
        </w:tc>
      </w:tr>
      <w:tr>
        <w:trPr>
          <w:trHeight w:val="161"/>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Issuance cost in connection with</w:t>
            </w:r>
          </w:p>
        </w:tc>
        <w:tc>
          <w:tcPr>
            <w:tcW w:w="9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580" w:type="dxa"/>
            <w:vAlign w:val="bottom"/>
            <w:shd w:val="clear" w:color="auto" w:fill="E7E7E7"/>
          </w:tcPr>
          <w:p>
            <w:pPr>
              <w:spacing w:after="0"/>
              <w:rPr>
                <w:sz w:val="14"/>
                <w:szCs w:val="14"/>
                <w:color w:val="auto"/>
              </w:rPr>
            </w:pP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58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108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8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1020" w:type="dxa"/>
            <w:vAlign w:val="bottom"/>
            <w:shd w:val="clear" w:color="auto" w:fill="E7E7E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the Offering</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75"/>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175"/>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Exercises of stock options</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128,995</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600" w:type="dxa"/>
            <w:vAlign w:val="bottom"/>
            <w:gridSpan w:val="2"/>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74"/>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6"/>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Net loss</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shd w:val="clear" w:color="auto" w:fill="000000"/>
          </w:tcPr>
          <w:p>
            <w:pPr>
              <w:spacing w:after="0"/>
              <w:rPr>
                <w:sz w:val="15"/>
                <w:szCs w:val="15"/>
                <w:color w:val="auto"/>
              </w:rPr>
            </w:pPr>
          </w:p>
        </w:tc>
        <w:tc>
          <w:tcPr>
            <w:tcW w:w="74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(62,883)</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(62,883)</w:t>
            </w:r>
          </w:p>
        </w:tc>
        <w:tc>
          <w:tcPr>
            <w:tcW w:w="0" w:type="dxa"/>
            <w:vAlign w:val="bottom"/>
          </w:tcPr>
          <w:p>
            <w:pPr>
              <w:spacing w:after="0"/>
              <w:rPr>
                <w:sz w:val="1"/>
                <w:szCs w:val="1"/>
                <w:color w:val="auto"/>
              </w:rPr>
            </w:pPr>
          </w:p>
        </w:tc>
      </w:tr>
      <w:tr>
        <w:trPr>
          <w:trHeight w:val="205"/>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12,232</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$45,005</w:t>
            </w:r>
          </w:p>
        </w:tc>
        <w:tc>
          <w:tcPr>
            <w:tcW w:w="100" w:type="dxa"/>
            <w:vAlign w:val="bottom"/>
            <w:tcBorders>
              <w:right w:val="single" w:sz="8" w:color="auto"/>
            </w:tcBorders>
            <w:shd w:val="clear" w:color="auto" w:fill="000000"/>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21,666,012</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$360,697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$(351,400)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$54,392</w:t>
            </w:r>
          </w:p>
        </w:tc>
        <w:tc>
          <w:tcPr>
            <w:tcW w:w="0" w:type="dxa"/>
            <w:vAlign w:val="bottom"/>
          </w:tcPr>
          <w:p>
            <w:pPr>
              <w:spacing w:after="0"/>
              <w:rPr>
                <w:sz w:val="1"/>
                <w:szCs w:val="1"/>
                <w:color w:val="auto"/>
              </w:rPr>
            </w:pPr>
          </w:p>
        </w:tc>
      </w:tr>
      <w:tr>
        <w:trPr>
          <w:trHeight w:val="146"/>
        </w:trPr>
        <w:tc>
          <w:tcPr>
            <w:tcW w:w="2010" w:type="dxa"/>
            <w:vAlign w:val="bottom"/>
            <w:tcBorders>
              <w:top w:val="single" w:sz="8" w:color="E7E7E7"/>
            </w:tcBorders>
            <w:shd w:val="clear" w:color="auto" w:fill="E7E7E7"/>
          </w:tcPr>
          <w:p>
            <w:pPr>
              <w:spacing w:after="0" w:line="146" w:lineRule="exact"/>
              <w:rPr>
                <w:sz w:val="20"/>
                <w:szCs w:val="20"/>
                <w:color w:val="auto"/>
              </w:rPr>
            </w:pPr>
            <w:r>
              <w:rPr>
                <w:rFonts w:ascii="Times New Roman" w:cs="Times New Roman" w:eastAsia="Times New Roman" w:hAnsi="Times New Roman"/>
                <w:sz w:val="14"/>
                <w:szCs w:val="14"/>
                <w:color w:val="auto"/>
              </w:rPr>
              <w:t>Issuance of common stock for Pre-</w:t>
            </w:r>
          </w:p>
        </w:tc>
        <w:tc>
          <w:tcPr>
            <w:tcW w:w="90" w:type="dxa"/>
            <w:vAlign w:val="bottom"/>
            <w:tcBorders>
              <w:top w:val="single" w:sz="8" w:color="E7E7E7"/>
            </w:tcBorders>
            <w:shd w:val="clear" w:color="auto" w:fill="E7E7E7"/>
          </w:tcPr>
          <w:p>
            <w:pPr>
              <w:spacing w:after="0"/>
              <w:rPr>
                <w:sz w:val="12"/>
                <w:szCs w:val="12"/>
                <w:color w:val="auto"/>
              </w:rPr>
            </w:pPr>
          </w:p>
        </w:tc>
        <w:tc>
          <w:tcPr>
            <w:tcW w:w="20" w:type="dxa"/>
            <w:vAlign w:val="bottom"/>
            <w:tcBorders>
              <w:top w:val="single" w:sz="8" w:color="E7E7E7"/>
            </w:tcBorders>
            <w:shd w:val="clear" w:color="auto" w:fill="E7E7E7"/>
          </w:tcPr>
          <w:p>
            <w:pPr>
              <w:spacing w:after="0"/>
              <w:rPr>
                <w:sz w:val="12"/>
                <w:szCs w:val="12"/>
                <w:color w:val="auto"/>
              </w:rPr>
            </w:pPr>
          </w:p>
        </w:tc>
        <w:tc>
          <w:tcPr>
            <w:tcW w:w="820" w:type="dxa"/>
            <w:vAlign w:val="bottom"/>
            <w:tcBorders>
              <w:top w:val="single" w:sz="8" w:color="auto"/>
            </w:tcBorders>
            <w:vMerge w:val="restart"/>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E7E7E7"/>
            </w:tcBorders>
            <w:shd w:val="clear" w:color="auto" w:fill="E7E7E7"/>
          </w:tcPr>
          <w:p>
            <w:pPr>
              <w:spacing w:after="0"/>
              <w:rPr>
                <w:sz w:val="12"/>
                <w:szCs w:val="12"/>
                <w:color w:val="auto"/>
              </w:rPr>
            </w:pPr>
          </w:p>
        </w:tc>
        <w:tc>
          <w:tcPr>
            <w:tcW w:w="20" w:type="dxa"/>
            <w:vAlign w:val="bottom"/>
            <w:tcBorders>
              <w:top w:val="single" w:sz="8" w:color="E7E7E7"/>
            </w:tcBorders>
            <w:shd w:val="clear" w:color="auto" w:fill="E7E7E7"/>
          </w:tcPr>
          <w:p>
            <w:pPr>
              <w:spacing w:after="0"/>
              <w:rPr>
                <w:sz w:val="12"/>
                <w:szCs w:val="12"/>
                <w:color w:val="auto"/>
              </w:rPr>
            </w:pPr>
          </w:p>
        </w:tc>
        <w:tc>
          <w:tcPr>
            <w:tcW w:w="580" w:type="dxa"/>
            <w:vAlign w:val="bottom"/>
            <w:tcBorders>
              <w:top w:val="single" w:sz="8" w:color="auto"/>
            </w:tcBorders>
            <w:vMerge w:val="restart"/>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right w:val="single" w:sz="8" w:color="auto"/>
            </w:tcBorders>
            <w:shd w:val="clear" w:color="auto" w:fill="000000"/>
          </w:tcPr>
          <w:p>
            <w:pPr>
              <w:spacing w:after="0"/>
              <w:rPr>
                <w:sz w:val="12"/>
                <w:szCs w:val="12"/>
                <w:color w:val="auto"/>
              </w:rPr>
            </w:pPr>
          </w:p>
        </w:tc>
        <w:tc>
          <w:tcPr>
            <w:tcW w:w="740" w:type="dxa"/>
            <w:vAlign w:val="bottom"/>
            <w:tcBorders>
              <w:top w:val="single" w:sz="8" w:color="auto"/>
            </w:tcBorders>
            <w:shd w:val="clear" w:color="auto" w:fill="E7E7E7"/>
          </w:tcPr>
          <w:p>
            <w:pPr>
              <w:spacing w:after="0"/>
              <w:rPr>
                <w:sz w:val="12"/>
                <w:szCs w:val="12"/>
                <w:color w:val="auto"/>
              </w:rPr>
            </w:pPr>
          </w:p>
        </w:tc>
        <w:tc>
          <w:tcPr>
            <w:tcW w:w="20" w:type="dxa"/>
            <w:vAlign w:val="bottom"/>
            <w:tcBorders>
              <w:top w:val="single" w:sz="8" w:color="auto"/>
            </w:tcBorders>
            <w:shd w:val="clear" w:color="auto" w:fill="E7E7E7"/>
          </w:tcPr>
          <w:p>
            <w:pPr>
              <w:spacing w:after="0"/>
              <w:rPr>
                <w:sz w:val="12"/>
                <w:szCs w:val="12"/>
                <w:color w:val="auto"/>
              </w:rPr>
            </w:pPr>
          </w:p>
        </w:tc>
        <w:tc>
          <w:tcPr>
            <w:tcW w:w="80" w:type="dxa"/>
            <w:vAlign w:val="bottom"/>
            <w:tcBorders>
              <w:top w:val="single" w:sz="8" w:color="E7E7E7"/>
            </w:tcBorders>
            <w:shd w:val="clear" w:color="auto" w:fill="E7E7E7"/>
          </w:tcPr>
          <w:p>
            <w:pPr>
              <w:spacing w:after="0"/>
              <w:rPr>
                <w:sz w:val="12"/>
                <w:szCs w:val="12"/>
                <w:color w:val="auto"/>
              </w:rPr>
            </w:pPr>
          </w:p>
        </w:tc>
        <w:tc>
          <w:tcPr>
            <w:tcW w:w="20" w:type="dxa"/>
            <w:vAlign w:val="bottom"/>
            <w:tcBorders>
              <w:top w:val="single" w:sz="8" w:color="E7E7E7"/>
            </w:tcBorders>
            <w:shd w:val="clear" w:color="auto" w:fill="E7E7E7"/>
          </w:tcPr>
          <w:p>
            <w:pPr>
              <w:spacing w:after="0"/>
              <w:rPr>
                <w:sz w:val="12"/>
                <w:szCs w:val="12"/>
                <w:color w:val="auto"/>
              </w:rPr>
            </w:pPr>
          </w:p>
        </w:tc>
        <w:tc>
          <w:tcPr>
            <w:tcW w:w="580" w:type="dxa"/>
            <w:vAlign w:val="bottom"/>
            <w:tcBorders>
              <w:top w:val="single" w:sz="8" w:color="auto"/>
            </w:tcBorders>
            <w:shd w:val="clear" w:color="auto" w:fill="E7E7E7"/>
          </w:tcPr>
          <w:p>
            <w:pPr>
              <w:spacing w:after="0"/>
              <w:rPr>
                <w:sz w:val="12"/>
                <w:szCs w:val="12"/>
                <w:color w:val="auto"/>
              </w:rPr>
            </w:pPr>
          </w:p>
        </w:tc>
        <w:tc>
          <w:tcPr>
            <w:tcW w:w="80" w:type="dxa"/>
            <w:vAlign w:val="bottom"/>
            <w:tcBorders>
              <w:top w:val="single" w:sz="8" w:color="E7E7E7"/>
            </w:tcBorders>
            <w:shd w:val="clear" w:color="auto" w:fill="E7E7E7"/>
          </w:tcPr>
          <w:p>
            <w:pPr>
              <w:spacing w:after="0"/>
              <w:rPr>
                <w:sz w:val="12"/>
                <w:szCs w:val="12"/>
                <w:color w:val="auto"/>
              </w:rPr>
            </w:pPr>
          </w:p>
        </w:tc>
        <w:tc>
          <w:tcPr>
            <w:tcW w:w="20" w:type="dxa"/>
            <w:vAlign w:val="bottom"/>
            <w:tcBorders>
              <w:top w:val="single" w:sz="8" w:color="E7E7E7"/>
            </w:tcBorders>
            <w:shd w:val="clear" w:color="auto" w:fill="E7E7E7"/>
          </w:tcPr>
          <w:p>
            <w:pPr>
              <w:spacing w:after="0"/>
              <w:rPr>
                <w:sz w:val="12"/>
                <w:szCs w:val="12"/>
                <w:color w:val="auto"/>
              </w:rPr>
            </w:pPr>
          </w:p>
        </w:tc>
        <w:tc>
          <w:tcPr>
            <w:tcW w:w="820" w:type="dxa"/>
            <w:vAlign w:val="bottom"/>
            <w:tcBorders>
              <w:top w:val="single" w:sz="8" w:color="auto"/>
            </w:tcBorders>
            <w:shd w:val="clear" w:color="auto" w:fill="E7E7E7"/>
          </w:tcPr>
          <w:p>
            <w:pPr>
              <w:spacing w:after="0"/>
              <w:rPr>
                <w:sz w:val="12"/>
                <w:szCs w:val="12"/>
                <w:color w:val="auto"/>
              </w:rPr>
            </w:pPr>
          </w:p>
        </w:tc>
        <w:tc>
          <w:tcPr>
            <w:tcW w:w="80" w:type="dxa"/>
            <w:vAlign w:val="bottom"/>
            <w:tcBorders>
              <w:top w:val="single" w:sz="8" w:color="E7E7E7"/>
            </w:tcBorders>
            <w:shd w:val="clear" w:color="auto" w:fill="E7E7E7"/>
          </w:tcPr>
          <w:p>
            <w:pPr>
              <w:spacing w:after="0"/>
              <w:rPr>
                <w:sz w:val="12"/>
                <w:szCs w:val="12"/>
                <w:color w:val="auto"/>
              </w:rPr>
            </w:pPr>
          </w:p>
        </w:tc>
        <w:tc>
          <w:tcPr>
            <w:tcW w:w="20" w:type="dxa"/>
            <w:vAlign w:val="bottom"/>
            <w:tcBorders>
              <w:top w:val="single" w:sz="8" w:color="E7E7E7"/>
            </w:tcBorders>
            <w:shd w:val="clear" w:color="auto" w:fill="E7E7E7"/>
          </w:tcPr>
          <w:p>
            <w:pPr>
              <w:spacing w:after="0"/>
              <w:rPr>
                <w:sz w:val="12"/>
                <w:szCs w:val="12"/>
                <w:color w:val="auto"/>
              </w:rPr>
            </w:pPr>
          </w:p>
        </w:tc>
        <w:tc>
          <w:tcPr>
            <w:tcW w:w="1080" w:type="dxa"/>
            <w:vAlign w:val="bottom"/>
            <w:tcBorders>
              <w:top w:val="single" w:sz="8" w:color="auto"/>
            </w:tcBorders>
            <w:vMerge w:val="restart"/>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E7E7E7"/>
            </w:tcBorders>
            <w:shd w:val="clear" w:color="auto" w:fill="E7E7E7"/>
          </w:tcPr>
          <w:p>
            <w:pPr>
              <w:spacing w:after="0"/>
              <w:rPr>
                <w:sz w:val="12"/>
                <w:szCs w:val="12"/>
                <w:color w:val="auto"/>
              </w:rPr>
            </w:pPr>
          </w:p>
        </w:tc>
        <w:tc>
          <w:tcPr>
            <w:tcW w:w="20" w:type="dxa"/>
            <w:vAlign w:val="bottom"/>
            <w:tcBorders>
              <w:top w:val="single" w:sz="8" w:color="E7E7E7"/>
            </w:tcBorders>
            <w:shd w:val="clear" w:color="auto" w:fill="E7E7E7"/>
          </w:tcPr>
          <w:p>
            <w:pPr>
              <w:spacing w:after="0"/>
              <w:rPr>
                <w:sz w:val="12"/>
                <w:szCs w:val="12"/>
                <w:color w:val="auto"/>
              </w:rPr>
            </w:pPr>
          </w:p>
        </w:tc>
        <w:tc>
          <w:tcPr>
            <w:tcW w:w="880" w:type="dxa"/>
            <w:vAlign w:val="bottom"/>
            <w:tcBorders>
              <w:top w:val="single" w:sz="8" w:color="auto"/>
            </w:tcBorders>
            <w:vMerge w:val="restart"/>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E7E7E7"/>
            </w:tcBorders>
            <w:shd w:val="clear" w:color="auto" w:fill="E7E7E7"/>
          </w:tcPr>
          <w:p>
            <w:pPr>
              <w:spacing w:after="0"/>
              <w:rPr>
                <w:sz w:val="12"/>
                <w:szCs w:val="12"/>
                <w:color w:val="auto"/>
              </w:rPr>
            </w:pPr>
          </w:p>
        </w:tc>
        <w:tc>
          <w:tcPr>
            <w:tcW w:w="20" w:type="dxa"/>
            <w:vAlign w:val="bottom"/>
            <w:tcBorders>
              <w:top w:val="single" w:sz="8" w:color="E7E7E7"/>
            </w:tcBorders>
            <w:shd w:val="clear" w:color="auto" w:fill="E7E7E7"/>
          </w:tcPr>
          <w:p>
            <w:pPr>
              <w:spacing w:after="0"/>
              <w:rPr>
                <w:sz w:val="12"/>
                <w:szCs w:val="12"/>
                <w:color w:val="auto"/>
              </w:rPr>
            </w:pPr>
          </w:p>
        </w:tc>
        <w:tc>
          <w:tcPr>
            <w:tcW w:w="1020" w:type="dxa"/>
            <w:vAlign w:val="bottom"/>
            <w:tcBorders>
              <w:top w:val="single" w:sz="8" w:color="auto"/>
            </w:tcBorders>
            <w:shd w:val="clear" w:color="auto" w:fill="E7E7E7"/>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Paid Advances</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vMerge w:val="continue"/>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vMerge w:val="continue"/>
            <w:shd w:val="clear" w:color="auto" w:fill="E7E7E7"/>
          </w:tcPr>
          <w:p>
            <w:pPr>
              <w:spacing w:after="0"/>
              <w:rPr>
                <w:sz w:val="15"/>
                <w:szCs w:val="15"/>
                <w:color w:val="auto"/>
              </w:rPr>
            </w:pP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2,727,162</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600" w:type="dxa"/>
            <w:vAlign w:val="bottom"/>
            <w:gridSpan w:val="2"/>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vMerge w:val="continue"/>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vMerge w:val="continue"/>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0" w:type="dxa"/>
            <w:vAlign w:val="bottom"/>
          </w:tcPr>
          <w:p>
            <w:pPr>
              <w:spacing w:after="0"/>
              <w:rPr>
                <w:sz w:val="1"/>
                <w:szCs w:val="1"/>
                <w:color w:val="auto"/>
              </w:rPr>
            </w:pPr>
          </w:p>
        </w:tc>
      </w:tr>
      <w:tr>
        <w:trPr>
          <w:trHeight w:val="162"/>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Issuance of common stock for</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commitment fee</w:t>
            </w:r>
          </w:p>
        </w:tc>
        <w:tc>
          <w:tcPr>
            <w:tcW w:w="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62"/>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Issuance of common stock in</w:t>
            </w:r>
          </w:p>
        </w:tc>
        <w:tc>
          <w:tcPr>
            <w:tcW w:w="9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580" w:type="dxa"/>
            <w:vAlign w:val="bottom"/>
            <w:shd w:val="clear" w:color="auto" w:fill="E7E7E7"/>
          </w:tcPr>
          <w:p>
            <w:pPr>
              <w:spacing w:after="0"/>
              <w:rPr>
                <w:sz w:val="14"/>
                <w:szCs w:val="14"/>
                <w:color w:val="auto"/>
              </w:rPr>
            </w:pP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58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108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8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1020" w:type="dxa"/>
            <w:vAlign w:val="bottom"/>
            <w:shd w:val="clear" w:color="auto" w:fill="E7E7E7"/>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connection with “at the market”</w:t>
            </w:r>
          </w:p>
        </w:tc>
        <w:tc>
          <w:tcPr>
            <w:tcW w:w="90" w:type="dxa"/>
            <w:vAlign w:val="bottom"/>
            <w:shd w:val="clear" w:color="auto" w:fill="E7E7E7"/>
          </w:tcPr>
          <w:p>
            <w:pPr>
              <w:spacing w:after="0"/>
              <w:rPr>
                <w:sz w:val="13"/>
                <w:szCs w:val="13"/>
                <w:color w:val="auto"/>
              </w:rPr>
            </w:pPr>
          </w:p>
        </w:tc>
        <w:tc>
          <w:tcPr>
            <w:tcW w:w="20" w:type="dxa"/>
            <w:vAlign w:val="bottom"/>
            <w:shd w:val="clear" w:color="auto" w:fill="E7E7E7"/>
          </w:tcPr>
          <w:p>
            <w:pPr>
              <w:spacing w:after="0"/>
              <w:rPr>
                <w:sz w:val="13"/>
                <w:szCs w:val="13"/>
                <w:color w:val="auto"/>
              </w:rPr>
            </w:pPr>
          </w:p>
        </w:tc>
        <w:tc>
          <w:tcPr>
            <w:tcW w:w="820" w:type="dxa"/>
            <w:vAlign w:val="bottom"/>
            <w:shd w:val="clear" w:color="auto" w:fill="E7E7E7"/>
          </w:tcPr>
          <w:p>
            <w:pPr>
              <w:spacing w:after="0"/>
              <w:rPr>
                <w:sz w:val="13"/>
                <w:szCs w:val="13"/>
                <w:color w:val="auto"/>
              </w:rPr>
            </w:pPr>
          </w:p>
        </w:tc>
        <w:tc>
          <w:tcPr>
            <w:tcW w:w="80" w:type="dxa"/>
            <w:vAlign w:val="bottom"/>
            <w:shd w:val="clear" w:color="auto" w:fill="E7E7E7"/>
          </w:tcPr>
          <w:p>
            <w:pPr>
              <w:spacing w:after="0"/>
              <w:rPr>
                <w:sz w:val="13"/>
                <w:szCs w:val="13"/>
                <w:color w:val="auto"/>
              </w:rPr>
            </w:pPr>
          </w:p>
        </w:tc>
        <w:tc>
          <w:tcPr>
            <w:tcW w:w="20" w:type="dxa"/>
            <w:vAlign w:val="bottom"/>
            <w:shd w:val="clear" w:color="auto" w:fill="E7E7E7"/>
          </w:tcPr>
          <w:p>
            <w:pPr>
              <w:spacing w:after="0"/>
              <w:rPr>
                <w:sz w:val="13"/>
                <w:szCs w:val="13"/>
                <w:color w:val="auto"/>
              </w:rPr>
            </w:pPr>
          </w:p>
        </w:tc>
        <w:tc>
          <w:tcPr>
            <w:tcW w:w="580" w:type="dxa"/>
            <w:vAlign w:val="bottom"/>
            <w:shd w:val="clear" w:color="auto" w:fill="E7E7E7"/>
          </w:tcPr>
          <w:p>
            <w:pPr>
              <w:spacing w:after="0"/>
              <w:rPr>
                <w:sz w:val="13"/>
                <w:szCs w:val="13"/>
                <w:color w:val="auto"/>
              </w:rPr>
            </w:pPr>
          </w:p>
        </w:tc>
        <w:tc>
          <w:tcPr>
            <w:tcW w:w="100" w:type="dxa"/>
            <w:vAlign w:val="bottom"/>
            <w:tcBorders>
              <w:right w:val="single" w:sz="8" w:color="auto"/>
            </w:tcBorders>
            <w:shd w:val="clear" w:color="auto" w:fill="000000"/>
          </w:tcPr>
          <w:p>
            <w:pPr>
              <w:spacing w:after="0"/>
              <w:rPr>
                <w:sz w:val="13"/>
                <w:szCs w:val="13"/>
                <w:color w:val="auto"/>
              </w:rPr>
            </w:pPr>
          </w:p>
        </w:tc>
        <w:tc>
          <w:tcPr>
            <w:tcW w:w="740" w:type="dxa"/>
            <w:vAlign w:val="bottom"/>
            <w:shd w:val="clear" w:color="auto" w:fill="E7E7E7"/>
          </w:tcPr>
          <w:p>
            <w:pPr>
              <w:spacing w:after="0"/>
              <w:rPr>
                <w:sz w:val="13"/>
                <w:szCs w:val="13"/>
                <w:color w:val="auto"/>
              </w:rPr>
            </w:pPr>
          </w:p>
        </w:tc>
        <w:tc>
          <w:tcPr>
            <w:tcW w:w="20" w:type="dxa"/>
            <w:vAlign w:val="bottom"/>
            <w:shd w:val="clear" w:color="auto" w:fill="E7E7E7"/>
          </w:tcPr>
          <w:p>
            <w:pPr>
              <w:spacing w:after="0"/>
              <w:rPr>
                <w:sz w:val="13"/>
                <w:szCs w:val="13"/>
                <w:color w:val="auto"/>
              </w:rPr>
            </w:pPr>
          </w:p>
        </w:tc>
        <w:tc>
          <w:tcPr>
            <w:tcW w:w="80" w:type="dxa"/>
            <w:vAlign w:val="bottom"/>
            <w:shd w:val="clear" w:color="auto" w:fill="E7E7E7"/>
          </w:tcPr>
          <w:p>
            <w:pPr>
              <w:spacing w:after="0"/>
              <w:rPr>
                <w:sz w:val="13"/>
                <w:szCs w:val="13"/>
                <w:color w:val="auto"/>
              </w:rPr>
            </w:pPr>
          </w:p>
        </w:tc>
        <w:tc>
          <w:tcPr>
            <w:tcW w:w="20" w:type="dxa"/>
            <w:vAlign w:val="bottom"/>
            <w:shd w:val="clear" w:color="auto" w:fill="E7E7E7"/>
          </w:tcPr>
          <w:p>
            <w:pPr>
              <w:spacing w:after="0"/>
              <w:rPr>
                <w:sz w:val="13"/>
                <w:szCs w:val="13"/>
                <w:color w:val="auto"/>
              </w:rPr>
            </w:pPr>
          </w:p>
        </w:tc>
        <w:tc>
          <w:tcPr>
            <w:tcW w:w="580" w:type="dxa"/>
            <w:vAlign w:val="bottom"/>
            <w:shd w:val="clear" w:color="auto" w:fill="E7E7E7"/>
          </w:tcPr>
          <w:p>
            <w:pPr>
              <w:spacing w:after="0"/>
              <w:rPr>
                <w:sz w:val="13"/>
                <w:szCs w:val="13"/>
                <w:color w:val="auto"/>
              </w:rPr>
            </w:pPr>
          </w:p>
        </w:tc>
        <w:tc>
          <w:tcPr>
            <w:tcW w:w="80" w:type="dxa"/>
            <w:vAlign w:val="bottom"/>
            <w:shd w:val="clear" w:color="auto" w:fill="E7E7E7"/>
          </w:tcPr>
          <w:p>
            <w:pPr>
              <w:spacing w:after="0"/>
              <w:rPr>
                <w:sz w:val="13"/>
                <w:szCs w:val="13"/>
                <w:color w:val="auto"/>
              </w:rPr>
            </w:pPr>
          </w:p>
        </w:tc>
        <w:tc>
          <w:tcPr>
            <w:tcW w:w="20" w:type="dxa"/>
            <w:vAlign w:val="bottom"/>
            <w:shd w:val="clear" w:color="auto" w:fill="E7E7E7"/>
          </w:tcPr>
          <w:p>
            <w:pPr>
              <w:spacing w:after="0"/>
              <w:rPr>
                <w:sz w:val="13"/>
                <w:szCs w:val="13"/>
                <w:color w:val="auto"/>
              </w:rPr>
            </w:pPr>
          </w:p>
        </w:tc>
        <w:tc>
          <w:tcPr>
            <w:tcW w:w="820" w:type="dxa"/>
            <w:vAlign w:val="bottom"/>
            <w:shd w:val="clear" w:color="auto" w:fill="E7E7E7"/>
          </w:tcPr>
          <w:p>
            <w:pPr>
              <w:spacing w:after="0"/>
              <w:rPr>
                <w:sz w:val="13"/>
                <w:szCs w:val="13"/>
                <w:color w:val="auto"/>
              </w:rPr>
            </w:pPr>
          </w:p>
        </w:tc>
        <w:tc>
          <w:tcPr>
            <w:tcW w:w="80" w:type="dxa"/>
            <w:vAlign w:val="bottom"/>
            <w:shd w:val="clear" w:color="auto" w:fill="E7E7E7"/>
          </w:tcPr>
          <w:p>
            <w:pPr>
              <w:spacing w:after="0"/>
              <w:rPr>
                <w:sz w:val="13"/>
                <w:szCs w:val="13"/>
                <w:color w:val="auto"/>
              </w:rPr>
            </w:pPr>
          </w:p>
        </w:tc>
        <w:tc>
          <w:tcPr>
            <w:tcW w:w="20" w:type="dxa"/>
            <w:vAlign w:val="bottom"/>
            <w:shd w:val="clear" w:color="auto" w:fill="E7E7E7"/>
          </w:tcPr>
          <w:p>
            <w:pPr>
              <w:spacing w:after="0"/>
              <w:rPr>
                <w:sz w:val="13"/>
                <w:szCs w:val="13"/>
                <w:color w:val="auto"/>
              </w:rPr>
            </w:pPr>
          </w:p>
        </w:tc>
        <w:tc>
          <w:tcPr>
            <w:tcW w:w="1080" w:type="dxa"/>
            <w:vAlign w:val="bottom"/>
            <w:shd w:val="clear" w:color="auto" w:fill="E7E7E7"/>
          </w:tcPr>
          <w:p>
            <w:pPr>
              <w:spacing w:after="0"/>
              <w:rPr>
                <w:sz w:val="13"/>
                <w:szCs w:val="13"/>
                <w:color w:val="auto"/>
              </w:rPr>
            </w:pPr>
          </w:p>
        </w:tc>
        <w:tc>
          <w:tcPr>
            <w:tcW w:w="80" w:type="dxa"/>
            <w:vAlign w:val="bottom"/>
            <w:shd w:val="clear" w:color="auto" w:fill="E7E7E7"/>
          </w:tcPr>
          <w:p>
            <w:pPr>
              <w:spacing w:after="0"/>
              <w:rPr>
                <w:sz w:val="13"/>
                <w:szCs w:val="13"/>
                <w:color w:val="auto"/>
              </w:rPr>
            </w:pPr>
          </w:p>
        </w:tc>
        <w:tc>
          <w:tcPr>
            <w:tcW w:w="20" w:type="dxa"/>
            <w:vAlign w:val="bottom"/>
            <w:shd w:val="clear" w:color="auto" w:fill="E7E7E7"/>
          </w:tcPr>
          <w:p>
            <w:pPr>
              <w:spacing w:after="0"/>
              <w:rPr>
                <w:sz w:val="13"/>
                <w:szCs w:val="13"/>
                <w:color w:val="auto"/>
              </w:rPr>
            </w:pPr>
          </w:p>
        </w:tc>
        <w:tc>
          <w:tcPr>
            <w:tcW w:w="880" w:type="dxa"/>
            <w:vAlign w:val="bottom"/>
            <w:shd w:val="clear" w:color="auto" w:fill="E7E7E7"/>
          </w:tcPr>
          <w:p>
            <w:pPr>
              <w:spacing w:after="0"/>
              <w:rPr>
                <w:sz w:val="13"/>
                <w:szCs w:val="13"/>
                <w:color w:val="auto"/>
              </w:rPr>
            </w:pPr>
          </w:p>
        </w:tc>
        <w:tc>
          <w:tcPr>
            <w:tcW w:w="80" w:type="dxa"/>
            <w:vAlign w:val="bottom"/>
            <w:shd w:val="clear" w:color="auto" w:fill="E7E7E7"/>
          </w:tcPr>
          <w:p>
            <w:pPr>
              <w:spacing w:after="0"/>
              <w:rPr>
                <w:sz w:val="13"/>
                <w:szCs w:val="13"/>
                <w:color w:val="auto"/>
              </w:rPr>
            </w:pPr>
          </w:p>
        </w:tc>
        <w:tc>
          <w:tcPr>
            <w:tcW w:w="20" w:type="dxa"/>
            <w:vAlign w:val="bottom"/>
            <w:shd w:val="clear" w:color="auto" w:fill="E7E7E7"/>
          </w:tcPr>
          <w:p>
            <w:pPr>
              <w:spacing w:after="0"/>
              <w:rPr>
                <w:sz w:val="13"/>
                <w:szCs w:val="13"/>
                <w:color w:val="auto"/>
              </w:rPr>
            </w:pPr>
          </w:p>
        </w:tc>
        <w:tc>
          <w:tcPr>
            <w:tcW w:w="1020" w:type="dxa"/>
            <w:vAlign w:val="bottom"/>
            <w:shd w:val="clear" w:color="auto" w:fill="E7E7E7"/>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offerings</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1,317,739</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600" w:type="dxa"/>
            <w:vAlign w:val="bottom"/>
            <w:gridSpan w:val="2"/>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0" w:type="dxa"/>
            <w:vAlign w:val="bottom"/>
          </w:tcPr>
          <w:p>
            <w:pPr>
              <w:spacing w:after="0"/>
              <w:rPr>
                <w:sz w:val="1"/>
                <w:szCs w:val="1"/>
                <w:color w:val="auto"/>
              </w:rPr>
            </w:pPr>
          </w:p>
        </w:tc>
      </w:tr>
      <w:tr>
        <w:trPr>
          <w:trHeight w:val="175"/>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Issuance of warrants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62"/>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Issuance of common stock in</w:t>
            </w:r>
          </w:p>
        </w:tc>
        <w:tc>
          <w:tcPr>
            <w:tcW w:w="9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2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58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58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20" w:type="dxa"/>
            <w:vAlign w:val="bottom"/>
            <w:shd w:val="clear" w:color="auto" w:fill="E7E7E7"/>
          </w:tcPr>
          <w:p>
            <w:pPr>
              <w:spacing w:after="0"/>
              <w:rPr>
                <w:sz w:val="14"/>
                <w:szCs w:val="14"/>
                <w:color w:val="auto"/>
              </w:rPr>
            </w:pP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108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88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4"/>
                <w:szCs w:val="14"/>
                <w:color w:val="auto"/>
              </w:rPr>
            </w:pPr>
          </w:p>
        </w:tc>
        <w:tc>
          <w:tcPr>
            <w:tcW w:w="20" w:type="dxa"/>
            <w:vAlign w:val="bottom"/>
            <w:shd w:val="clear" w:color="auto" w:fill="E7E7E7"/>
          </w:tcPr>
          <w:p>
            <w:pPr>
              <w:spacing w:after="0"/>
              <w:rPr>
                <w:sz w:val="14"/>
                <w:szCs w:val="14"/>
                <w:color w:val="auto"/>
              </w:rPr>
            </w:pPr>
          </w:p>
        </w:tc>
        <w:tc>
          <w:tcPr>
            <w:tcW w:w="1020" w:type="dxa"/>
            <w:vAlign w:val="bottom"/>
            <w:shd w:val="clear" w:color="auto" w:fill="E7E7E7"/>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connection with Warrant Exercises</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vMerge w:val="continue"/>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vMerge w:val="continue"/>
            <w:shd w:val="clear" w:color="auto" w:fill="E7E7E7"/>
          </w:tcPr>
          <w:p>
            <w:pPr>
              <w:spacing w:after="0"/>
              <w:rPr>
                <w:sz w:val="15"/>
                <w:szCs w:val="15"/>
                <w:color w:val="auto"/>
              </w:rPr>
            </w:pP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1,035,758</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600" w:type="dxa"/>
            <w:vAlign w:val="bottom"/>
            <w:gridSpan w:val="2"/>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vMerge w:val="continue"/>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vMerge w:val="continue"/>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0" w:type="dxa"/>
            <w:vAlign w:val="bottom"/>
          </w:tcPr>
          <w:p>
            <w:pPr>
              <w:spacing w:after="0"/>
              <w:rPr>
                <w:sz w:val="1"/>
                <w:szCs w:val="1"/>
                <w:color w:val="auto"/>
              </w:rPr>
            </w:pPr>
          </w:p>
        </w:tc>
      </w:tr>
      <w:tr>
        <w:trPr>
          <w:trHeight w:val="175"/>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 Exchanges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0" w:type="dxa"/>
            <w:vAlign w:val="bottom"/>
          </w:tcPr>
          <w:p>
            <w:pPr>
              <w:spacing w:after="0"/>
              <w:rPr>
                <w:sz w:val="1"/>
                <w:szCs w:val="1"/>
                <w:color w:val="auto"/>
              </w:rPr>
            </w:pPr>
          </w:p>
        </w:tc>
      </w:tr>
      <w:tr>
        <w:trPr>
          <w:trHeight w:val="174"/>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shd w:val="clear" w:color="auto" w:fill="E7E7E7"/>
              </w:rPr>
              <w:t>Stock-based compensation expense</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175"/>
        </w:trPr>
        <w:tc>
          <w:tcPr>
            <w:tcW w:w="2010" w:type="dxa"/>
            <w:vAlign w:val="bottom"/>
          </w:tcPr>
          <w:p>
            <w:pPr>
              <w:spacing w:after="0"/>
              <w:rPr>
                <w:sz w:val="20"/>
                <w:szCs w:val="20"/>
                <w:color w:val="auto"/>
              </w:rPr>
            </w:pPr>
            <w:r>
              <w:rPr>
                <w:rFonts w:ascii="Times New Roman" w:cs="Times New Roman" w:eastAsia="Times New Roman" w:hAnsi="Times New Roman"/>
                <w:sz w:val="14"/>
                <w:szCs w:val="14"/>
                <w:color w:val="auto"/>
              </w:rPr>
              <w:t>Exercises of stock options</w:t>
            </w: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5"/>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580,000</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600" w:type="dxa"/>
            <w:vAlign w:val="bottom"/>
            <w:gridSpan w:val="2"/>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to be issued upon</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 Exercises</w:t>
            </w:r>
          </w:p>
        </w:tc>
        <w:tc>
          <w:tcPr>
            <w:tcW w:w="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5"/>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1"/>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adjustments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000000"/>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5"/>
        </w:trPr>
        <w:tc>
          <w:tcPr>
            <w:tcW w:w="2010" w:type="dxa"/>
            <w:vAlign w:val="bottom"/>
            <w:shd w:val="clear" w:color="auto" w:fill="E7E7E7"/>
          </w:tcPr>
          <w:p>
            <w:pPr>
              <w:spacing w:after="0"/>
              <w:rPr>
                <w:sz w:val="20"/>
                <w:szCs w:val="20"/>
                <w:color w:val="auto"/>
              </w:rPr>
            </w:pPr>
            <w:r>
              <w:rPr>
                <w:rFonts w:ascii="Times New Roman" w:cs="Times New Roman" w:eastAsia="Times New Roman" w:hAnsi="Times New Roman"/>
                <w:sz w:val="14"/>
                <w:szCs w:val="14"/>
                <w:color w:val="auto"/>
              </w:rPr>
              <w:t>Net loss</w:t>
            </w:r>
          </w:p>
        </w:tc>
        <w:tc>
          <w:tcPr>
            <w:tcW w:w="9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shd w:val="clear" w:color="auto" w:fill="000000"/>
          </w:tcPr>
          <w:p>
            <w:pPr>
              <w:spacing w:after="0"/>
              <w:rPr>
                <w:sz w:val="15"/>
                <w:szCs w:val="15"/>
                <w:color w:val="auto"/>
              </w:rPr>
            </w:pPr>
          </w:p>
        </w:tc>
        <w:tc>
          <w:tcPr>
            <w:tcW w:w="74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5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8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(49,871)</w:t>
            </w:r>
          </w:p>
        </w:tc>
        <w:tc>
          <w:tcPr>
            <w:tcW w:w="80" w:type="dxa"/>
            <w:vAlign w:val="bottom"/>
            <w:shd w:val="clear" w:color="auto" w:fill="E7E7E7"/>
          </w:tcPr>
          <w:p>
            <w:pPr>
              <w:spacing w:after="0"/>
              <w:rPr>
                <w:sz w:val="15"/>
                <w:szCs w:val="15"/>
                <w:color w:val="auto"/>
              </w:rPr>
            </w:pPr>
          </w:p>
        </w:tc>
        <w:tc>
          <w:tcPr>
            <w:tcW w:w="20" w:type="dxa"/>
            <w:vAlign w:val="bottom"/>
            <w:shd w:val="clear" w:color="auto" w:fill="E7E7E7"/>
          </w:tcPr>
          <w:p>
            <w:pPr>
              <w:spacing w:after="0"/>
              <w:rPr>
                <w:sz w:val="15"/>
                <w:szCs w:val="15"/>
                <w:color w:val="auto"/>
              </w:rPr>
            </w:pPr>
          </w:p>
        </w:tc>
        <w:tc>
          <w:tcPr>
            <w:tcW w:w="10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4"/>
                <w:szCs w:val="14"/>
                <w:color w:val="auto"/>
              </w:rPr>
              <w:t>(49,871)</w:t>
            </w:r>
          </w:p>
        </w:tc>
        <w:tc>
          <w:tcPr>
            <w:tcW w:w="0" w:type="dxa"/>
            <w:vAlign w:val="bottom"/>
          </w:tcPr>
          <w:p>
            <w:pPr>
              <w:spacing w:after="0"/>
              <w:rPr>
                <w:sz w:val="1"/>
                <w:szCs w:val="1"/>
                <w:color w:val="auto"/>
              </w:rPr>
            </w:pPr>
          </w:p>
        </w:tc>
      </w:tr>
      <w:tr>
        <w:trPr>
          <w:trHeight w:val="166"/>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12,232</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$45,005</w:t>
            </w:r>
          </w:p>
        </w:tc>
        <w:tc>
          <w:tcPr>
            <w:tcW w:w="100" w:type="dxa"/>
            <w:vAlign w:val="bottom"/>
            <w:tcBorders>
              <w:right w:val="single" w:sz="8" w:color="auto"/>
            </w:tcBorders>
            <w:shd w:val="clear" w:color="auto" w:fill="000000"/>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27,550,222</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$373,133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$(401,271)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$16,918</w:t>
            </w:r>
          </w:p>
        </w:tc>
        <w:tc>
          <w:tcPr>
            <w:tcW w:w="0" w:type="dxa"/>
            <w:vAlign w:val="bottom"/>
          </w:tcPr>
          <w:p>
            <w:pPr>
              <w:spacing w:after="0"/>
              <w:rPr>
                <w:sz w:val="1"/>
                <w:szCs w:val="1"/>
                <w:color w:val="auto"/>
              </w:rPr>
            </w:pPr>
          </w:p>
        </w:tc>
      </w:tr>
      <w:tr>
        <w:trPr>
          <w:trHeight w:val="20"/>
        </w:trPr>
        <w:tc>
          <w:tcPr>
            <w:tcW w:w="20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1339215</wp:posOffset>
                </wp:positionH>
                <wp:positionV relativeFrom="paragraph">
                  <wp:posOffset>-3745865</wp:posOffset>
                </wp:positionV>
                <wp:extent cx="52959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5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45pt,-294.9499pt" to="147.15pt,-2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1928495</wp:posOffset>
                </wp:positionH>
                <wp:positionV relativeFrom="paragraph">
                  <wp:posOffset>-3745865</wp:posOffset>
                </wp:positionV>
                <wp:extent cx="36576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7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294.9499pt" to="180.65pt,-2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2353310</wp:posOffset>
                </wp:positionH>
                <wp:positionV relativeFrom="paragraph">
                  <wp:posOffset>-3745865</wp:posOffset>
                </wp:positionV>
                <wp:extent cx="48768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76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3pt,-294.9499pt" to="223.7pt,-2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2901315</wp:posOffset>
                </wp:positionH>
                <wp:positionV relativeFrom="paragraph">
                  <wp:posOffset>-3745865</wp:posOffset>
                </wp:positionV>
                <wp:extent cx="37211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21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45pt,-294.9499pt" to="257.75pt,-2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3332480</wp:posOffset>
                </wp:positionH>
                <wp:positionV relativeFrom="paragraph">
                  <wp:posOffset>-3745865</wp:posOffset>
                </wp:positionV>
                <wp:extent cx="53086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8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4pt,-294.9499pt" to="304.2pt,-2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3922395</wp:posOffset>
                </wp:positionH>
                <wp:positionV relativeFrom="paragraph">
                  <wp:posOffset>-3745865</wp:posOffset>
                </wp:positionV>
                <wp:extent cx="68770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7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85pt,-294.9499pt" to="363pt,-2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4669155</wp:posOffset>
                </wp:positionH>
                <wp:positionV relativeFrom="paragraph">
                  <wp:posOffset>-3745865</wp:posOffset>
                </wp:positionV>
                <wp:extent cx="5619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9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65pt,-294.9499pt" to="411.9pt,-2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5290185</wp:posOffset>
                </wp:positionH>
                <wp:positionV relativeFrom="paragraph">
                  <wp:posOffset>-3745865</wp:posOffset>
                </wp:positionV>
                <wp:extent cx="65341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4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55pt,-294.9499pt" to="468pt,-29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-3216275</wp:posOffset>
                </wp:positionV>
                <wp:extent cx="229425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42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2499pt" to="180.65pt,-253.2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2353310</wp:posOffset>
                </wp:positionH>
                <wp:positionV relativeFrom="paragraph">
                  <wp:posOffset>-3216275</wp:posOffset>
                </wp:positionV>
                <wp:extent cx="359029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29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3pt,-253.2499pt" to="468pt,-253.2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-1012190</wp:posOffset>
                </wp:positionV>
                <wp:extent cx="229425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4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9.6999pt" to="180.65pt,-79.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2353310</wp:posOffset>
                </wp:positionH>
                <wp:positionV relativeFrom="paragraph">
                  <wp:posOffset>-1012190</wp:posOffset>
                </wp:positionV>
                <wp:extent cx="359029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2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3pt,-79.6999pt" to="468pt,-79.6999pt" o:allowincell="f" strokecolor="#FFFFFF" strokeweight="0.72pt"/>
            </w:pict>
          </mc:Fallback>
        </mc:AlternateConten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1416" w:right="1440" w:bottom="177"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REIN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2"/>
        </w:trPr>
        <w:tc>
          <w:tcPr>
            <w:tcW w:w="6240" w:type="dxa"/>
            <w:vAlign w:val="bottom"/>
            <w:tcBorders>
              <w:bottom w:val="single" w:sz="8" w:color="E7E7E7"/>
            </w:tcBorders>
          </w:tcPr>
          <w:p>
            <w:pPr>
              <w:spacing w:after="0"/>
              <w:rPr>
                <w:sz w:val="16"/>
                <w:szCs w:val="16"/>
                <w:color w:val="auto"/>
              </w:rPr>
            </w:pPr>
          </w:p>
        </w:tc>
        <w:tc>
          <w:tcPr>
            <w:tcW w:w="160" w:type="dxa"/>
            <w:vAlign w:val="bottom"/>
            <w:tcBorders>
              <w:bottom w:val="single" w:sz="8" w:color="E7E7E7"/>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E7E7E7"/>
            </w:tcBorders>
          </w:tcPr>
          <w:p>
            <w:pPr>
              <w:spacing w:after="0"/>
              <w:rPr>
                <w:sz w:val="16"/>
                <w:szCs w:val="16"/>
                <w:color w:val="auto"/>
              </w:rPr>
            </w:pPr>
          </w:p>
        </w:tc>
        <w:tc>
          <w:tcPr>
            <w:tcW w:w="180" w:type="dxa"/>
            <w:vAlign w:val="bottom"/>
            <w:tcBorders>
              <w:top w:val="single" w:sz="8" w:color="auto"/>
              <w:bottom w:val="single" w:sz="8" w:color="E7E7E7"/>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7E7E7"/>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E7E7E7"/>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18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1220" w:type="dxa"/>
            <w:vAlign w:val="bottom"/>
            <w:shd w:val="clear" w:color="auto" w:fill="E7E7E7"/>
          </w:tcPr>
          <w:p>
            <w:pPr>
              <w:spacing w:after="0"/>
              <w:rPr>
                <w:sz w:val="15"/>
                <w:szCs w:val="15"/>
                <w:color w:val="auto"/>
              </w:rPr>
            </w:pPr>
          </w:p>
        </w:tc>
        <w:tc>
          <w:tcPr>
            <w:tcW w:w="100" w:type="dxa"/>
            <w:vAlign w:val="bottom"/>
            <w:shd w:val="clear" w:color="auto" w:fill="E7E7E7"/>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E7E7E7"/>
            </w:tcBorders>
          </w:tcPr>
          <w:p>
            <w:pPr>
              <w:spacing w:after="0"/>
              <w:rPr>
                <w:sz w:val="17"/>
                <w:szCs w:val="17"/>
                <w:color w:val="auto"/>
              </w:rPr>
            </w:pP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2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rPr>
              <w:t>(49,871</w:t>
            </w: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80" w:type="dxa"/>
            <w:vAlign w:val="bottom"/>
            <w:tcBorders>
              <w:bottom w:val="single" w:sz="8" w:color="E7E7E7"/>
            </w:tcBorders>
          </w:tcPr>
          <w:p>
            <w:pPr>
              <w:spacing w:after="0"/>
              <w:rPr>
                <w:sz w:val="17"/>
                <w:szCs w:val="17"/>
                <w:color w:val="auto"/>
              </w:rPr>
            </w:pP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1"/>
                <w:szCs w:val="11"/>
                <w:color w:val="auto"/>
                <w:highlight w:val="white"/>
                <w:w w:val="71"/>
              </w:rPr>
              <w:t>$</w:t>
            </w:r>
          </w:p>
        </w:tc>
        <w:tc>
          <w:tcPr>
            <w:tcW w:w="12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rPr>
              <w:t>(62,883</w:t>
            </w:r>
          </w:p>
        </w:tc>
        <w:tc>
          <w:tcPr>
            <w:tcW w:w="10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178"/>
        </w:trPr>
        <w:tc>
          <w:tcPr>
            <w:tcW w:w="6240" w:type="dxa"/>
            <w:vAlign w:val="bottom"/>
            <w:shd w:val="clear" w:color="auto" w:fill="E7E7E7"/>
          </w:tcPr>
          <w:p>
            <w:pPr>
              <w:spacing w:after="0" w:line="178" w:lineRule="exact"/>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60" w:type="dxa"/>
            <w:vAlign w:val="bottom"/>
            <w:shd w:val="clear" w:color="auto" w:fill="E7E7E7"/>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E7E7E7"/>
          </w:tcPr>
          <w:p>
            <w:pPr>
              <w:spacing w:after="0"/>
              <w:rPr>
                <w:sz w:val="15"/>
                <w:szCs w:val="15"/>
                <w:color w:val="auto"/>
              </w:rPr>
            </w:pPr>
          </w:p>
        </w:tc>
        <w:tc>
          <w:tcPr>
            <w:tcW w:w="18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1220" w:type="dxa"/>
            <w:vAlign w:val="bottom"/>
            <w:shd w:val="clear" w:color="auto" w:fill="E7E7E7"/>
          </w:tcPr>
          <w:p>
            <w:pPr>
              <w:spacing w:after="0"/>
              <w:rPr>
                <w:sz w:val="15"/>
                <w:szCs w:val="15"/>
                <w:color w:val="auto"/>
              </w:rPr>
            </w:pPr>
          </w:p>
        </w:tc>
        <w:tc>
          <w:tcPr>
            <w:tcW w:w="100" w:type="dxa"/>
            <w:vAlign w:val="bottom"/>
            <w:shd w:val="clear" w:color="auto" w:fill="E7E7E7"/>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E7E7E7"/>
            </w:tcBorders>
          </w:tcPr>
          <w:p>
            <w:pPr>
              <w:ind w:left="200"/>
              <w:spacing w:after="0"/>
              <w:rPr>
                <w:sz w:val="20"/>
                <w:szCs w:val="20"/>
                <w:color w:val="auto"/>
              </w:rPr>
            </w:pPr>
            <w:r>
              <w:rPr>
                <w:rFonts w:ascii="Times New Roman" w:cs="Times New Roman" w:eastAsia="Times New Roman" w:hAnsi="Times New Roman"/>
                <w:sz w:val="16"/>
                <w:szCs w:val="16"/>
                <w:color w:val="auto"/>
              </w:rPr>
              <w:t>Commitment fee related to Pre-Paid Advance agreement</w:t>
            </w:r>
          </w:p>
        </w:tc>
        <w:tc>
          <w:tcPr>
            <w:tcW w:w="160" w:type="dxa"/>
            <w:vAlign w:val="bottom"/>
            <w:tcBorders>
              <w:bottom w:val="single" w:sz="8" w:color="E7E7E7"/>
            </w:tcBorders>
          </w:tcPr>
          <w:p>
            <w:pPr>
              <w:spacing w:after="0"/>
              <w:rPr>
                <w:sz w:val="17"/>
                <w:szCs w:val="17"/>
                <w:color w:val="auto"/>
              </w:rPr>
            </w:pPr>
          </w:p>
        </w:tc>
        <w:tc>
          <w:tcPr>
            <w:tcW w:w="80" w:type="dxa"/>
            <w:vAlign w:val="bottom"/>
            <w:tcBorders>
              <w:bottom w:val="single" w:sz="8" w:color="E7E7E7"/>
            </w:tcBorders>
          </w:tcPr>
          <w:p>
            <w:pPr>
              <w:spacing w:after="0"/>
              <w:rPr>
                <w:sz w:val="17"/>
                <w:szCs w:val="17"/>
                <w:color w:val="auto"/>
              </w:rPr>
            </w:pPr>
          </w:p>
        </w:tc>
        <w:tc>
          <w:tcPr>
            <w:tcW w:w="1220" w:type="dxa"/>
            <w:vAlign w:val="bottom"/>
            <w:tcBorders>
              <w:bottom w:val="single" w:sz="8" w:color="E7E7E7"/>
            </w:tcBorders>
            <w:vMerge w:val="continue"/>
          </w:tcPr>
          <w:p>
            <w:pPr>
              <w:spacing w:after="0"/>
              <w:rPr>
                <w:sz w:val="17"/>
                <w:szCs w:val="17"/>
                <w:color w:val="auto"/>
              </w:rPr>
            </w:pPr>
          </w:p>
        </w:tc>
        <w:tc>
          <w:tcPr>
            <w:tcW w:w="80" w:type="dxa"/>
            <w:vAlign w:val="bottom"/>
            <w:tcBorders>
              <w:bottom w:val="single" w:sz="8" w:color="E7E7E7"/>
            </w:tcBorders>
          </w:tcPr>
          <w:p>
            <w:pPr>
              <w:spacing w:after="0"/>
              <w:rPr>
                <w:sz w:val="17"/>
                <w:szCs w:val="17"/>
                <w:color w:val="auto"/>
              </w:rPr>
            </w:pPr>
          </w:p>
        </w:tc>
        <w:tc>
          <w:tcPr>
            <w:tcW w:w="180" w:type="dxa"/>
            <w:vAlign w:val="bottom"/>
            <w:tcBorders>
              <w:bottom w:val="single" w:sz="8" w:color="E7E7E7"/>
            </w:tcBorders>
          </w:tcPr>
          <w:p>
            <w:pPr>
              <w:spacing w:after="0"/>
              <w:rPr>
                <w:sz w:val="17"/>
                <w:szCs w:val="17"/>
                <w:color w:val="auto"/>
              </w:rPr>
            </w:pPr>
          </w:p>
        </w:tc>
        <w:tc>
          <w:tcPr>
            <w:tcW w:w="80" w:type="dxa"/>
            <w:vAlign w:val="bottom"/>
            <w:tcBorders>
              <w:bottom w:val="single" w:sz="8" w:color="E7E7E7"/>
            </w:tcBorders>
          </w:tcPr>
          <w:p>
            <w:pPr>
              <w:spacing w:after="0"/>
              <w:rPr>
                <w:sz w:val="17"/>
                <w:szCs w:val="17"/>
                <w:color w:val="auto"/>
              </w:rPr>
            </w:pPr>
          </w:p>
        </w:tc>
        <w:tc>
          <w:tcPr>
            <w:tcW w:w="12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E7E7E7"/>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240" w:type="dxa"/>
            <w:vAlign w:val="bottom"/>
            <w:shd w:val="clear" w:color="auto" w:fill="E7E7E7"/>
          </w:tcPr>
          <w:p>
            <w:pPr>
              <w:ind w:left="200"/>
              <w:spacing w:after="0" w:line="178" w:lineRule="exact"/>
              <w:rPr>
                <w:sz w:val="20"/>
                <w:szCs w:val="20"/>
                <w:color w:val="auto"/>
              </w:rPr>
            </w:pPr>
            <w:r>
              <w:rPr>
                <w:rFonts w:ascii="Times New Roman" w:cs="Times New Roman" w:eastAsia="Times New Roman" w:hAnsi="Times New Roman"/>
                <w:sz w:val="16"/>
                <w:szCs w:val="16"/>
                <w:color w:val="auto"/>
              </w:rPr>
              <w:t>Original issue discount related to Pre-Paid Advance agreement</w:t>
            </w:r>
          </w:p>
        </w:tc>
        <w:tc>
          <w:tcPr>
            <w:tcW w:w="160" w:type="dxa"/>
            <w:vAlign w:val="bottom"/>
            <w:shd w:val="clear" w:color="auto" w:fill="E7E7E7"/>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E7E7E7"/>
          </w:tcPr>
          <w:p>
            <w:pPr>
              <w:spacing w:after="0"/>
              <w:rPr>
                <w:sz w:val="15"/>
                <w:szCs w:val="15"/>
                <w:color w:val="auto"/>
              </w:rPr>
            </w:pPr>
          </w:p>
        </w:tc>
        <w:tc>
          <w:tcPr>
            <w:tcW w:w="18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1220" w:type="dxa"/>
            <w:vAlign w:val="bottom"/>
            <w:shd w:val="clear" w:color="auto" w:fill="E7E7E7"/>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7E7E7"/>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tcBorders>
              <w:bottom w:val="single" w:sz="8" w:color="E7E7E7"/>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80" w:type="dxa"/>
            <w:vAlign w:val="bottom"/>
            <w:tcBorders>
              <w:bottom w:val="single" w:sz="8" w:color="E7E7E7"/>
            </w:tcBorders>
          </w:tcPr>
          <w:p>
            <w:pPr>
              <w:spacing w:after="0"/>
              <w:rPr>
                <w:sz w:val="17"/>
                <w:szCs w:val="17"/>
                <w:color w:val="auto"/>
              </w:rPr>
            </w:pPr>
          </w:p>
        </w:tc>
        <w:tc>
          <w:tcPr>
            <w:tcW w:w="12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rPr>
              <w:t>28,700</w:t>
            </w:r>
          </w:p>
        </w:tc>
        <w:tc>
          <w:tcPr>
            <w:tcW w:w="80" w:type="dxa"/>
            <w:vAlign w:val="bottom"/>
            <w:tcBorders>
              <w:bottom w:val="single" w:sz="8" w:color="E7E7E7"/>
            </w:tcBorders>
          </w:tcPr>
          <w:p>
            <w:pPr>
              <w:spacing w:after="0"/>
              <w:rPr>
                <w:sz w:val="17"/>
                <w:szCs w:val="17"/>
                <w:color w:val="auto"/>
              </w:rPr>
            </w:pPr>
          </w:p>
        </w:tc>
        <w:tc>
          <w:tcPr>
            <w:tcW w:w="180" w:type="dxa"/>
            <w:vAlign w:val="bottom"/>
            <w:tcBorders>
              <w:bottom w:val="single" w:sz="8" w:color="E7E7E7"/>
            </w:tcBorders>
          </w:tcPr>
          <w:p>
            <w:pPr>
              <w:spacing w:after="0"/>
              <w:rPr>
                <w:sz w:val="17"/>
                <w:szCs w:val="17"/>
                <w:color w:val="auto"/>
              </w:rPr>
            </w:pPr>
          </w:p>
        </w:tc>
        <w:tc>
          <w:tcPr>
            <w:tcW w:w="80" w:type="dxa"/>
            <w:vAlign w:val="bottom"/>
            <w:tcBorders>
              <w:bottom w:val="single" w:sz="8" w:color="E7E7E7"/>
            </w:tcBorders>
          </w:tcPr>
          <w:p>
            <w:pPr>
              <w:spacing w:after="0"/>
              <w:rPr>
                <w:sz w:val="17"/>
                <w:szCs w:val="17"/>
                <w:color w:val="auto"/>
              </w:rPr>
            </w:pPr>
          </w:p>
        </w:tc>
        <w:tc>
          <w:tcPr>
            <w:tcW w:w="12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16"/>
                <w:szCs w:val="16"/>
                <w:color w:val="auto"/>
              </w:rPr>
              <w:t>37,000</w:t>
            </w:r>
          </w:p>
        </w:tc>
        <w:tc>
          <w:tcPr>
            <w:tcW w:w="100" w:type="dxa"/>
            <w:vAlign w:val="bottom"/>
            <w:tcBorders>
              <w:bottom w:val="single" w:sz="8" w:color="E7E7E7"/>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240" w:type="dxa"/>
            <w:vAlign w:val="bottom"/>
            <w:shd w:val="clear" w:color="auto" w:fill="E7E7E7"/>
          </w:tcPr>
          <w:p>
            <w:pPr>
              <w:ind w:left="200"/>
              <w:spacing w:after="0" w:line="178"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E7E7E7"/>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18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1220" w:type="dxa"/>
            <w:vAlign w:val="bottom"/>
            <w:shd w:val="clear" w:color="auto" w:fill="E7E7E7"/>
          </w:tcPr>
          <w:p>
            <w:pPr>
              <w:spacing w:after="0"/>
              <w:rPr>
                <w:sz w:val="15"/>
                <w:szCs w:val="15"/>
                <w:color w:val="auto"/>
              </w:rPr>
            </w:pPr>
          </w:p>
        </w:tc>
        <w:tc>
          <w:tcPr>
            <w:tcW w:w="100" w:type="dxa"/>
            <w:vAlign w:val="bottom"/>
            <w:shd w:val="clear" w:color="auto" w:fill="E7E7E7"/>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ind w:left="4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198"/>
        </w:trPr>
        <w:tc>
          <w:tcPr>
            <w:tcW w:w="64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(2,622 )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ind w:left="4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(712 )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(1,554 )</w:t>
            </w:r>
          </w:p>
        </w:tc>
        <w:tc>
          <w:tcPr>
            <w:tcW w:w="0" w:type="dxa"/>
            <w:vAlign w:val="bottom"/>
          </w:tcPr>
          <w:p>
            <w:pPr>
              <w:spacing w:after="0"/>
              <w:rPr>
                <w:sz w:val="1"/>
                <w:szCs w:val="1"/>
                <w:color w:val="auto"/>
              </w:rPr>
            </w:pPr>
          </w:p>
        </w:tc>
      </w:tr>
      <w:tr>
        <w:trPr>
          <w:trHeight w:val="188"/>
        </w:trPr>
        <w:tc>
          <w:tcPr>
            <w:tcW w:w="6240" w:type="dxa"/>
            <w:vAlign w:val="bottom"/>
            <w:tcBorders>
              <w:top w:val="single" w:sz="8" w:color="E7E7E7"/>
            </w:tcBorders>
            <w:shd w:val="clear" w:color="auto" w:fill="E7E7E7"/>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tcBorders>
              <w:top w:val="single" w:sz="8" w:color="E7E7E7"/>
            </w:tcBorders>
            <w:shd w:val="clear" w:color="auto" w:fill="E7E7E7"/>
          </w:tcPr>
          <w:p>
            <w:pPr>
              <w:spacing w:after="0"/>
              <w:rPr>
                <w:sz w:val="16"/>
                <w:szCs w:val="16"/>
                <w:color w:val="auto"/>
              </w:rPr>
            </w:pPr>
          </w:p>
        </w:tc>
        <w:tc>
          <w:tcPr>
            <w:tcW w:w="80" w:type="dxa"/>
            <w:vAlign w:val="bottom"/>
            <w:tcBorders>
              <w:top w:val="single" w:sz="8" w:color="auto"/>
              <w:bottom w:val="single" w:sz="8" w:color="auto"/>
            </w:tcBorders>
            <w:shd w:val="clear" w:color="auto" w:fill="E7E7E7"/>
          </w:tcPr>
          <w:p>
            <w:pPr>
              <w:spacing w:after="0"/>
              <w:rPr>
                <w:sz w:val="16"/>
                <w:szCs w:val="16"/>
                <w:color w:val="auto"/>
              </w:rPr>
            </w:pPr>
          </w:p>
        </w:tc>
        <w:tc>
          <w:tcPr>
            <w:tcW w:w="1220" w:type="dxa"/>
            <w:vAlign w:val="bottom"/>
            <w:tcBorders>
              <w:top w:val="single" w:sz="8" w:color="auto"/>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(19,361</w:t>
            </w:r>
          </w:p>
        </w:tc>
        <w:tc>
          <w:tcPr>
            <w:tcW w:w="8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80" w:type="dxa"/>
            <w:vAlign w:val="bottom"/>
            <w:tcBorders>
              <w:top w:val="single" w:sz="8" w:color="E7E7E7"/>
            </w:tcBorders>
            <w:shd w:val="clear" w:color="auto" w:fill="E7E7E7"/>
          </w:tcPr>
          <w:p>
            <w:pPr>
              <w:spacing w:after="0"/>
              <w:rPr>
                <w:sz w:val="16"/>
                <w:szCs w:val="16"/>
                <w:color w:val="auto"/>
              </w:rPr>
            </w:pPr>
          </w:p>
        </w:tc>
        <w:tc>
          <w:tcPr>
            <w:tcW w:w="80" w:type="dxa"/>
            <w:vAlign w:val="bottom"/>
            <w:tcBorders>
              <w:top w:val="single" w:sz="8" w:color="auto"/>
              <w:bottom w:val="single" w:sz="8" w:color="auto"/>
            </w:tcBorders>
            <w:shd w:val="clear" w:color="auto" w:fill="E7E7E7"/>
          </w:tcPr>
          <w:p>
            <w:pPr>
              <w:spacing w:after="0"/>
              <w:rPr>
                <w:sz w:val="16"/>
                <w:szCs w:val="16"/>
                <w:color w:val="auto"/>
              </w:rPr>
            </w:pPr>
          </w:p>
        </w:tc>
        <w:tc>
          <w:tcPr>
            <w:tcW w:w="1220" w:type="dxa"/>
            <w:vAlign w:val="bottom"/>
            <w:tcBorders>
              <w:top w:val="single" w:sz="8" w:color="auto"/>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(22,291</w:t>
            </w:r>
          </w:p>
        </w:tc>
        <w:tc>
          <w:tcPr>
            <w:tcW w:w="100" w:type="dxa"/>
            <w:vAlign w:val="bottom"/>
            <w:tcBorders>
              <w:top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178"/>
        </w:trPr>
        <w:tc>
          <w:tcPr>
            <w:tcW w:w="640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net of offering costs</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Proceeds from Pre-Paid Advances, net of discounts</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stock option exercises</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Warrant Exercises, net of costs</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16"/>
                <w:szCs w:val="16"/>
                <w:color w:val="auto"/>
              </w:rPr>
              <w:t>Proceeds from issuance of warrants, net of offering costs</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spacing w:after="0"/>
              <w:rPr>
                <w:sz w:val="17"/>
                <w:szCs w:val="17"/>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Proceeds from Warrant Exchanges, net of offering costs</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16"/>
                <w:szCs w:val="16"/>
                <w:color w:val="auto"/>
              </w:rPr>
              <w:t>Proceeds from warrant exercises with common stock subscribed</w:t>
            </w:r>
          </w:p>
        </w:tc>
        <w:tc>
          <w:tcPr>
            <w:tcW w:w="160" w:type="dxa"/>
            <w:vAlign w:val="bottom"/>
            <w:shd w:val="clear" w:color="auto" w:fill="E7E7E7"/>
          </w:tcPr>
          <w:p>
            <w:pPr>
              <w:spacing w:after="0"/>
              <w:rPr>
                <w:sz w:val="17"/>
                <w:szCs w:val="17"/>
                <w:color w:val="auto"/>
              </w:rPr>
            </w:pPr>
          </w:p>
        </w:tc>
        <w:tc>
          <w:tcPr>
            <w:tcW w:w="80" w:type="dxa"/>
            <w:vAlign w:val="bottom"/>
            <w:tcBorders>
              <w:bottom w:val="single" w:sz="8" w:color="auto"/>
            </w:tcBorders>
            <w:shd w:val="clear" w:color="auto" w:fill="E7E7E7"/>
          </w:tcPr>
          <w:p>
            <w:pPr>
              <w:spacing w:after="0"/>
              <w:rPr>
                <w:sz w:val="17"/>
                <w:szCs w:val="17"/>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tcBorders>
              <w:bottom w:val="single" w:sz="8" w:color="auto"/>
            </w:tcBorders>
            <w:shd w:val="clear" w:color="auto" w:fill="E7E7E7"/>
          </w:tcPr>
          <w:p>
            <w:pPr>
              <w:spacing w:after="0"/>
              <w:rPr>
                <w:sz w:val="17"/>
                <w:szCs w:val="17"/>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0" w:type="dxa"/>
            <w:vAlign w:val="bottom"/>
            <w:tcBorders>
              <w:bottom w:val="single" w:sz="8" w:color="E7E7E7"/>
            </w:tcBorders>
            <w:gridSpan w:val="2"/>
          </w:tcPr>
          <w:p>
            <w:pPr>
              <w:ind w:left="2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80" w:type="dxa"/>
            <w:vAlign w:val="bottom"/>
            <w:tcBorders>
              <w:bottom w:val="single" w:sz="8" w:color="E7E7E7"/>
            </w:tcBorders>
          </w:tcPr>
          <w:p>
            <w:pPr>
              <w:spacing w:after="0"/>
              <w:rPr>
                <w:sz w:val="16"/>
                <w:szCs w:val="16"/>
                <w:color w:val="auto"/>
              </w:rPr>
            </w:pPr>
          </w:p>
        </w:tc>
        <w:tc>
          <w:tcPr>
            <w:tcW w:w="180" w:type="dxa"/>
            <w:vAlign w:val="bottom"/>
            <w:tcBorders>
              <w:bottom w:val="single" w:sz="8" w:color="E7E7E7"/>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17,818</w:t>
            </w:r>
          </w:p>
        </w:tc>
        <w:tc>
          <w:tcPr>
            <w:tcW w:w="100" w:type="dxa"/>
            <w:vAlign w:val="bottom"/>
            <w:tcBorders>
              <w:bottom w:val="single" w:sz="8" w:color="E7E7E7"/>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0" w:type="dxa"/>
            <w:vAlign w:val="bottom"/>
            <w:shd w:val="clear" w:color="auto" w:fill="E7E7E7"/>
          </w:tcPr>
          <w:p>
            <w:pPr>
              <w:spacing w:after="0"/>
              <w:rPr>
                <w:sz w:val="16"/>
                <w:szCs w:val="16"/>
                <w:color w:val="auto"/>
              </w:rPr>
            </w:pPr>
          </w:p>
        </w:tc>
        <w:tc>
          <w:tcPr>
            <w:tcW w:w="80" w:type="dxa"/>
            <w:vAlign w:val="bottom"/>
            <w:shd w:val="clear" w:color="auto" w:fill="E7E7E7"/>
          </w:tcPr>
          <w:p>
            <w:pPr>
              <w:spacing w:after="0"/>
              <w:rPr>
                <w:sz w:val="16"/>
                <w:szCs w:val="16"/>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80" w:type="dxa"/>
            <w:vAlign w:val="bottom"/>
            <w:shd w:val="clear" w:color="auto" w:fill="E7E7E7"/>
          </w:tcPr>
          <w:p>
            <w:pPr>
              <w:spacing w:after="0"/>
              <w:rPr>
                <w:sz w:val="16"/>
                <w:szCs w:val="16"/>
                <w:color w:val="auto"/>
              </w:rPr>
            </w:pPr>
          </w:p>
        </w:tc>
        <w:tc>
          <w:tcPr>
            <w:tcW w:w="80" w:type="dxa"/>
            <w:vAlign w:val="bottom"/>
            <w:shd w:val="clear" w:color="auto" w:fill="E7E7E7"/>
          </w:tcPr>
          <w:p>
            <w:pPr>
              <w:spacing w:after="0"/>
              <w:rPr>
                <w:sz w:val="16"/>
                <w:szCs w:val="16"/>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7E7E7"/>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(9,650 )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(4,473 )</w:t>
            </w: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160" w:type="dxa"/>
            <w:vAlign w:val="bottom"/>
            <w:shd w:val="clear" w:color="auto" w:fill="E7E7E7"/>
          </w:tcPr>
          <w:p>
            <w:pPr>
              <w:spacing w:after="0"/>
              <w:rPr>
                <w:sz w:val="17"/>
                <w:szCs w:val="17"/>
                <w:color w:val="auto"/>
              </w:rPr>
            </w:pPr>
          </w:p>
        </w:tc>
        <w:tc>
          <w:tcPr>
            <w:tcW w:w="80" w:type="dxa"/>
            <w:vAlign w:val="bottom"/>
            <w:tcBorders>
              <w:bottom w:val="single" w:sz="8" w:color="auto"/>
            </w:tcBorders>
            <w:shd w:val="clear" w:color="auto" w:fill="E7E7E7"/>
          </w:tcPr>
          <w:p>
            <w:pPr>
              <w:spacing w:after="0"/>
              <w:rPr>
                <w:sz w:val="17"/>
                <w:szCs w:val="17"/>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12,865</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tcBorders>
              <w:bottom w:val="single" w:sz="8" w:color="auto"/>
            </w:tcBorders>
            <w:shd w:val="clear" w:color="auto" w:fill="E7E7E7"/>
          </w:tcPr>
          <w:p>
            <w:pPr>
              <w:spacing w:after="0"/>
              <w:rPr>
                <w:sz w:val="17"/>
                <w:szCs w:val="17"/>
                <w:color w:val="auto"/>
              </w:rPr>
            </w:pP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17,338</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160" w:type="dxa"/>
            <w:vAlign w:val="bottom"/>
            <w:shd w:val="clear" w:color="auto" w:fill="E7E7E7"/>
          </w:tcPr>
          <w:p>
            <w:pPr>
              <w:spacing w:after="0"/>
              <w:rPr>
                <w:sz w:val="17"/>
                <w:szCs w:val="17"/>
                <w:color w:val="auto"/>
              </w:rPr>
            </w:pPr>
          </w:p>
        </w:tc>
        <w:tc>
          <w:tcPr>
            <w:tcW w:w="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12,865</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tcBorders>
              <w:bottom w:val="single" w:sz="8" w:color="E7E7E7"/>
            </w:tcBorders>
            <w:gridSpan w:val="2"/>
          </w:tcPr>
          <w:p>
            <w:pPr>
              <w:spacing w:after="0"/>
              <w:rPr>
                <w:sz w:val="15"/>
                <w:szCs w:val="15"/>
                <w:color w:val="auto"/>
              </w:rPr>
            </w:pPr>
          </w:p>
        </w:tc>
        <w:tc>
          <w:tcPr>
            <w:tcW w:w="80" w:type="dxa"/>
            <w:vAlign w:val="bottom"/>
            <w:tcBorders>
              <w:bottom w:val="single" w:sz="8" w:color="E7E7E7"/>
            </w:tcBorders>
          </w:tcPr>
          <w:p>
            <w:pPr>
              <w:spacing w:after="0"/>
              <w:rPr>
                <w:sz w:val="15"/>
                <w:szCs w:val="15"/>
                <w:color w:val="auto"/>
              </w:rPr>
            </w:pPr>
          </w:p>
        </w:tc>
        <w:tc>
          <w:tcPr>
            <w:tcW w:w="1220" w:type="dxa"/>
            <w:vAlign w:val="bottom"/>
            <w:tcBorders>
              <w:bottom w:val="single" w:sz="8" w:color="E7E7E7"/>
            </w:tcBorders>
          </w:tcPr>
          <w:p>
            <w:pPr>
              <w:spacing w:after="0"/>
              <w:rPr>
                <w:sz w:val="15"/>
                <w:szCs w:val="15"/>
                <w:color w:val="auto"/>
              </w:rPr>
            </w:pPr>
          </w:p>
        </w:tc>
        <w:tc>
          <w:tcPr>
            <w:tcW w:w="80" w:type="dxa"/>
            <w:vAlign w:val="bottom"/>
            <w:tcBorders>
              <w:bottom w:val="single" w:sz="8" w:color="E7E7E7"/>
            </w:tcBorders>
          </w:tcPr>
          <w:p>
            <w:pPr>
              <w:spacing w:after="0"/>
              <w:rPr>
                <w:sz w:val="15"/>
                <w:szCs w:val="15"/>
                <w:color w:val="auto"/>
              </w:rPr>
            </w:pPr>
          </w:p>
        </w:tc>
        <w:tc>
          <w:tcPr>
            <w:tcW w:w="180" w:type="dxa"/>
            <w:vAlign w:val="bottom"/>
            <w:tcBorders>
              <w:bottom w:val="single" w:sz="8" w:color="E7E7E7"/>
            </w:tcBorders>
          </w:tcPr>
          <w:p>
            <w:pPr>
              <w:spacing w:after="0"/>
              <w:rPr>
                <w:sz w:val="15"/>
                <w:szCs w:val="15"/>
                <w:color w:val="auto"/>
              </w:rPr>
            </w:pPr>
          </w:p>
        </w:tc>
        <w:tc>
          <w:tcPr>
            <w:tcW w:w="80" w:type="dxa"/>
            <w:vAlign w:val="bottom"/>
            <w:tcBorders>
              <w:bottom w:val="single" w:sz="8" w:color="E7E7E7"/>
            </w:tcBorders>
          </w:tcPr>
          <w:p>
            <w:pPr>
              <w:spacing w:after="0"/>
              <w:rPr>
                <w:sz w:val="15"/>
                <w:szCs w:val="15"/>
                <w:color w:val="auto"/>
              </w:rPr>
            </w:pPr>
          </w:p>
        </w:tc>
        <w:tc>
          <w:tcPr>
            <w:tcW w:w="1220" w:type="dxa"/>
            <w:vAlign w:val="bottom"/>
            <w:tcBorders>
              <w:bottom w:val="single" w:sz="8" w:color="E7E7E7"/>
            </w:tcBorders>
          </w:tcPr>
          <w:p>
            <w:pPr>
              <w:spacing w:after="0"/>
              <w:rPr>
                <w:sz w:val="15"/>
                <w:szCs w:val="15"/>
                <w:color w:val="auto"/>
              </w:rPr>
            </w:pPr>
          </w:p>
        </w:tc>
        <w:tc>
          <w:tcPr>
            <w:tcW w:w="100" w:type="dxa"/>
            <w:vAlign w:val="bottom"/>
            <w:tcBorders>
              <w:bottom w:val="single" w:sz="8" w:color="E7E7E7"/>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40" w:type="dxa"/>
            <w:vAlign w:val="bottom"/>
            <w:shd w:val="clear" w:color="auto" w:fill="E7E7E7"/>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60" w:type="dxa"/>
            <w:vAlign w:val="bottom"/>
            <w:shd w:val="clear" w:color="auto" w:fill="E7E7E7"/>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180" w:type="dxa"/>
            <w:vAlign w:val="bottom"/>
            <w:shd w:val="clear" w:color="auto" w:fill="E7E7E7"/>
          </w:tcPr>
          <w:p>
            <w:pPr>
              <w:spacing w:after="0"/>
              <w:rPr>
                <w:sz w:val="15"/>
                <w:szCs w:val="15"/>
                <w:color w:val="auto"/>
              </w:rPr>
            </w:pPr>
          </w:p>
        </w:tc>
        <w:tc>
          <w:tcPr>
            <w:tcW w:w="80" w:type="dxa"/>
            <w:vAlign w:val="bottom"/>
            <w:shd w:val="clear" w:color="auto" w:fill="E7E7E7"/>
          </w:tcPr>
          <w:p>
            <w:pPr>
              <w:spacing w:after="0"/>
              <w:rPr>
                <w:sz w:val="15"/>
                <w:szCs w:val="15"/>
                <w:color w:val="auto"/>
              </w:rPr>
            </w:pPr>
          </w:p>
        </w:tc>
        <w:tc>
          <w:tcPr>
            <w:tcW w:w="1220" w:type="dxa"/>
            <w:vAlign w:val="bottom"/>
            <w:shd w:val="clear" w:color="auto" w:fill="E7E7E7"/>
          </w:tcPr>
          <w:p>
            <w:pPr>
              <w:spacing w:after="0"/>
              <w:rPr>
                <w:sz w:val="15"/>
                <w:szCs w:val="15"/>
                <w:color w:val="auto"/>
              </w:rPr>
            </w:pPr>
          </w:p>
        </w:tc>
        <w:tc>
          <w:tcPr>
            <w:tcW w:w="100" w:type="dxa"/>
            <w:vAlign w:val="bottom"/>
            <w:shd w:val="clear" w:color="auto" w:fill="E7E7E7"/>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gain on short-term investments</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highlight w:val="white"/>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for Pre-Paid Advances and interest accrual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40" w:type="dxa"/>
            <w:vAlign w:val="bottom"/>
            <w:shd w:val="clear" w:color="auto" w:fill="E7E7E7"/>
          </w:tcPr>
          <w:p>
            <w:pPr>
              <w:spacing w:after="0"/>
              <w:rPr>
                <w:sz w:val="20"/>
                <w:szCs w:val="20"/>
                <w:color w:val="auto"/>
              </w:rPr>
            </w:pPr>
            <w:r>
              <w:rPr>
                <w:rFonts w:ascii="Times New Roman" w:cs="Times New Roman" w:eastAsia="Times New Roman" w:hAnsi="Times New Roman"/>
                <w:sz w:val="16"/>
                <w:szCs w:val="16"/>
                <w:color w:val="auto"/>
              </w:rPr>
              <w:t>Conversion of Series X non-voting convertible preferred stock into common stock shares</w:t>
            </w:r>
          </w:p>
        </w:tc>
        <w:tc>
          <w:tcPr>
            <w:tcW w:w="160" w:type="dxa"/>
            <w:vAlign w:val="bottom"/>
            <w:shd w:val="clear" w:color="auto" w:fill="E7E7E7"/>
          </w:tcPr>
          <w:p>
            <w:pPr>
              <w:spacing w:after="0"/>
              <w:rPr>
                <w:sz w:val="17"/>
                <w:szCs w:val="17"/>
                <w:color w:val="auto"/>
              </w:rPr>
            </w:pP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7E7E7"/>
          </w:tcPr>
          <w:p>
            <w:pPr>
              <w:spacing w:after="0"/>
              <w:rPr>
                <w:sz w:val="17"/>
                <w:szCs w:val="17"/>
                <w:color w:val="auto"/>
              </w:rPr>
            </w:pPr>
          </w:p>
        </w:tc>
        <w:tc>
          <w:tcPr>
            <w:tcW w:w="180" w:type="dxa"/>
            <w:vAlign w:val="bottom"/>
            <w:shd w:val="clear" w:color="auto" w:fill="E7E7E7"/>
          </w:tcPr>
          <w:p>
            <w:pPr>
              <w:spacing w:after="0"/>
              <w:rPr>
                <w:sz w:val="17"/>
                <w:szCs w:val="17"/>
                <w:color w:val="auto"/>
              </w:rPr>
            </w:pP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rPr>
              <w:t>46,405</w:t>
            </w:r>
          </w:p>
        </w:tc>
        <w:tc>
          <w:tcPr>
            <w:tcW w:w="100" w:type="dxa"/>
            <w:vAlign w:val="bottom"/>
            <w:shd w:val="clear" w:color="auto" w:fill="E7E7E7"/>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4058920</wp:posOffset>
                </wp:positionH>
                <wp:positionV relativeFrom="paragraph">
                  <wp:posOffset>-5118735</wp:posOffset>
                </wp:positionV>
                <wp:extent cx="182499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499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6pt,-403.0499pt" to="463.3pt,-403.0499pt" o:allowincell="f" strokecolor="#FFFFFF" strokeweight="0.7199pt"/>
            </w:pict>
          </mc:Fallback>
        </mc:AlternateContent>
        <w:drawing>
          <wp:anchor simplePos="0" relativeHeight="251657728" behindDoc="1" locked="0" layoutInCell="0" allowOverlap="1">
            <wp:simplePos x="0" y="0"/>
            <wp:positionH relativeFrom="column">
              <wp:posOffset>4046220</wp:posOffset>
            </wp:positionH>
            <wp:positionV relativeFrom="paragraph">
              <wp:posOffset>-5003800</wp:posOffset>
            </wp:positionV>
            <wp:extent cx="860425" cy="151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extLst>
                    </a:blip>
                    <a:srcRect/>
                    <a:stretch>
                      <a:fillRect/>
                    </a:stretch>
                  </pic:blipFill>
                  <pic:spPr bwMode="auto">
                    <a:xfrm>
                      <a:off x="0" y="0"/>
                      <a:ext cx="860425" cy="151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-4752340</wp:posOffset>
            </wp:positionV>
            <wp:extent cx="5943600" cy="402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
                      <a:extLst>
                        <a:ext uri="{28A0092B-C50C-407E-A947-70E740481C1C}"/>
                      </a:extLst>
                    </a:blip>
                    <a:srcRect/>
                    <a:stretch>
                      <a:fillRect/>
                    </a:stretch>
                  </pic:blipFill>
                  <pic:spPr bwMode="auto">
                    <a:xfrm>
                      <a:off x="0" y="0"/>
                      <a:ext cx="5943600" cy="402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-3997960</wp:posOffset>
            </wp:positionV>
            <wp:extent cx="5943600" cy="15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
                      <a:extLst>
                        <a:ext uri="{28A0092B-C50C-407E-A947-70E740481C1C}"/>
                      </a:extLst>
                    </a:blip>
                    <a:srcRect/>
                    <a:stretch>
                      <a:fillRect/>
                    </a:stretch>
                  </pic:blipFill>
                  <pic:spPr bwMode="auto">
                    <a:xfrm>
                      <a:off x="0" y="0"/>
                      <a:ext cx="5943600" cy="151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-2860675</wp:posOffset>
            </wp:positionV>
            <wp:extent cx="5943600" cy="151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a:extLst>
                        <a:ext uri="{28A0092B-C50C-407E-A947-70E740481C1C}"/>
                      </a:extLst>
                    </a:blip>
                    <a:srcRect/>
                    <a:stretch>
                      <a:fillRect/>
                    </a:stretch>
                  </pic:blipFill>
                  <pic:spPr bwMode="auto">
                    <a:xfrm>
                      <a:off x="0" y="0"/>
                      <a:ext cx="5943600" cy="1511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4058920</wp:posOffset>
                </wp:positionH>
                <wp:positionV relativeFrom="paragraph">
                  <wp:posOffset>-1315720</wp:posOffset>
                </wp:positionV>
                <wp:extent cx="83502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0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6pt,-103.5999pt" to="385.35pt,-103.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5048250</wp:posOffset>
                </wp:positionH>
                <wp:positionV relativeFrom="paragraph">
                  <wp:posOffset>-1315720</wp:posOffset>
                </wp:positionV>
                <wp:extent cx="83566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6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5pt,-103.5999pt" to="463.3pt,-103.5999pt" o:allowincell="f" strokecolor="#FFFFFF" strokeweight="0.72pt"/>
            </w:pict>
          </mc:Fallback>
        </mc:AlternateContent>
        <w:drawing>
          <wp:anchor simplePos="0" relativeHeight="251657728" behindDoc="1" locked="0" layoutInCell="0" allowOverlap="1">
            <wp:simplePos x="0" y="0"/>
            <wp:positionH relativeFrom="column">
              <wp:posOffset>4046220</wp:posOffset>
            </wp:positionH>
            <wp:positionV relativeFrom="paragraph">
              <wp:posOffset>-640715</wp:posOffset>
            </wp:positionV>
            <wp:extent cx="860425" cy="151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
                      <a:extLst>
                        <a:ext uri="{28A0092B-C50C-407E-A947-70E740481C1C}"/>
                      </a:extLst>
                    </a:blip>
                    <a:srcRect/>
                    <a:stretch>
                      <a:fillRect/>
                    </a:stretch>
                  </pic:blipFill>
                  <pic:spPr bwMode="auto">
                    <a:xfrm>
                      <a:off x="0" y="0"/>
                      <a:ext cx="860425" cy="15113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1416" w:right="1440" w:bottom="177"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REIN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data)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the Business</w:t>
      </w:r>
    </w:p>
    <w:p>
      <w:pPr>
        <w:spacing w:after="0" w:line="11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On January 10, 2025, Aileron Therapeutics, Inc., or Aileron, amended its Restated Certificate of Incorporation, as amended, to effect a change of the Company’s name from “Aileron Therapeutics, Inc.” to “Rein Therapeutics, Inc.”, or Rein, or the Company.</w:t>
      </w:r>
    </w:p>
    <w:p>
      <w:pPr>
        <w:spacing w:after="0" w:line="74"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Prior to the Lung Acquisition (as defined below), the Company was a clinical stage chemoprotection oncology company. The Company’s product candidate, ALRN-6924, was a MDM2/MDMX dual inhibitor that leverages its proprietary peptide drug technology. In February 2023, the Company decided to terminate further development of ALRN-6924. On October 31, 2024, the Company entered into an exclusive option agreement with Advancium Health Network, or Advancium, for the sale of ALRN-6924. In July 2025, the option agreement was terminated. In August 2025, the Company entered into a letter agreement with Rients LLC, or Rients, for Rients to evaluate the legacy ALRN-6924 compound, or the Compound Asset. During the term of the letter agreement, Rients shall pay the Company for all fees and expenses incurred by the Company to maintain the Compound Asset.</w:t>
      </w:r>
    </w:p>
    <w:p>
      <w:pPr>
        <w:spacing w:after="0" w:line="69"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The Company is a clinical stage biopharmaceutical company focused on developing novel therapies for the treatment of fibrosis indications with no approved or limited effective treatments. The Company currently has one product candidate in clinical development, LTI-03. Development of another product candidate, LTI-01, as well as multiple candidates in preclinical development focused on fibrosis indications were postponed for an indefinite period due to insufficient financing as disclosed below.</w:t>
      </w:r>
    </w:p>
    <w:p>
      <w:pPr>
        <w:spacing w:after="0" w:line="73" w:lineRule="exact"/>
        <w:rPr>
          <w:sz w:val="20"/>
          <w:szCs w:val="20"/>
          <w:color w:val="auto"/>
        </w:rPr>
      </w:pPr>
    </w:p>
    <w:p>
      <w:pPr>
        <w:jc w:val="both"/>
        <w:ind w:firstLine="490"/>
        <w:spacing w:after="0" w:line="231" w:lineRule="auto"/>
        <w:rPr>
          <w:sz w:val="20"/>
          <w:szCs w:val="20"/>
          <w:color w:val="auto"/>
        </w:rPr>
      </w:pPr>
      <w:r>
        <w:rPr>
          <w:rFonts w:ascii="Times New Roman" w:cs="Times New Roman" w:eastAsia="Times New Roman" w:hAnsi="Times New Roman"/>
          <w:sz w:val="20"/>
          <w:szCs w:val="20"/>
          <w:color w:val="auto"/>
        </w:rPr>
        <w:t>On October 31, 2023, the Company acquired Lung Therapeutics, Inc., or Lung Therapeutics or Lung, pursuant to an Agreement and Plan of Merger, dated October 31, 2023, or the Lung Acquisition Agreement, by and among the Company, AT Merger Sub I, Inc., a Delaware corporation and its wholly owned subsidiary, or the First Merger Sub, AT Merger Sub II, LLC, a Delaware limited liability company and its wholly owned subsidiary, or the Second Merger Sub, and Lung. Its principal offices are in Austin, Texas. Following the Lung Acquisition, the Company shifted its operating disease focus to advancing a pipeline of first- in-class medicines to address significant unmet medical needs in orphan pulmonary and fibrosis indications with the potential to greatly improve patient outcomes over currently available treatments. Following expiration of the lease on March 31, 2024, Rein currently operates and expects to operate virtually for the foreseeable future.</w:t>
      </w:r>
    </w:p>
    <w:p>
      <w:pPr>
        <w:spacing w:after="0" w:line="77" w:lineRule="exact"/>
        <w:rPr>
          <w:sz w:val="20"/>
          <w:szCs w:val="20"/>
          <w:color w:val="auto"/>
        </w:rPr>
      </w:pPr>
    </w:p>
    <w:p>
      <w:pPr>
        <w:jc w:val="both"/>
        <w:ind w:firstLine="490"/>
        <w:spacing w:after="0" w:line="229" w:lineRule="auto"/>
        <w:rPr>
          <w:sz w:val="20"/>
          <w:szCs w:val="20"/>
          <w:color w:val="auto"/>
        </w:rPr>
      </w:pPr>
      <w:r>
        <w:rPr>
          <w:rFonts w:ascii="Times New Roman" w:cs="Times New Roman" w:eastAsia="Times New Roman" w:hAnsi="Times New Roman"/>
          <w:sz w:val="20"/>
          <w:szCs w:val="20"/>
          <w:color w:val="auto"/>
        </w:rPr>
        <w:t>The Company is subject to risks and uncertainties common to clinical-stage companies in the biotechnology industry, including, but not limited to the risk that the Company never achieves profitability, the need for substantial additional financing, the risk of relying on third parties, risks of clinical trial failures, dependence on key personnel, protection of proprietary technology, and compliance with government regulations. The Company’s lead product candidate, LTI-03, is being developed for the treatment of Idiopathic Pulmonary Fibrosis, or IPF, and has been evaluated in a healthy volunteer Phase 1a clinical trial and in a Phase 1b clinical trial in IPF patients. A Phase 2 multi-center, randomized, double-blind, and placebo-controlled study evaluating the safety, tolerability, and efficacy of LTI-03 in patients with IPF will enroll up to 120 IPF patients with interim topline data expected in the second half of 2026. The Company’s second product candidate, LTI -01, was in development for loculated pleural effusion, or LPE. The Company has completed Phase 1b and Phase 2a clinical trials in LPE patients. In June 2024, the Company decided to temporarily delay clinical development of LTI-01 in an effort to focus its resources on clinical development of LTI-03 and until additional funds are raised. In the fourth quarter of 2024, the Company determined that the temporary delay of further clinical development of LTI-01 may not be a short-term measure. In the fourth quarter of 2025, the Company decided to pause development activities related to LTI-01 for an indefinite period. The timing and likelihood of resuming development are uncertain and contingent on the Compamy’s ability to obtain additional financing and the future success of LTI-03.</w:t>
      </w:r>
    </w:p>
    <w:p>
      <w:pPr>
        <w:spacing w:after="0" w:line="85"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In May 2025, the Company initiated screening and recruitment of patients in the RENEW Phase 2 clinical trial of LTI-03. The RENEW trial is a Phase 2 multi-center, randomized, double-blind, placebo-controlled study evaluating the safety, tolerability, and efficacy of LTI-03 patients with IPF. In addition, the trial is designed to assess the activity of inhaled dry powder LTI-03 across multiple biomarkers and to measure lung function, lung imaging markers of fibrosis, and the potential for healthy tissue regeneration. The trial is designed to enroll approximately 120 patients diagnosed with IPF within 5 years of screening, who may be receiving standard of care antifibrotic therapy, across up to 50 sites globally, including sites in the U.S., UK, Germany, Australia and Poland. Patients will be randomized into two blinded placebo-controlled cohorts that will run concurrently. Patients in the low dose cohort will receive 2.5 mg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9360"/>
          </w:cols>
          <w:pgMar w:left="1440" w:top="1416" w:right="1440" w:bottom="177" w:gutter="0" w:footer="0" w:header="0"/>
        </w:sectPr>
      </w:pPr>
    </w:p>
    <w:bookmarkStart w:id="118" w:name="page119"/>
    <w:bookmarkEnd w:id="118"/>
    <w:p>
      <w:pPr>
        <w:jc w:val="both"/>
        <w:spacing w:after="0" w:line="247" w:lineRule="auto"/>
        <w:rPr>
          <w:sz w:val="20"/>
          <w:szCs w:val="20"/>
          <w:color w:val="auto"/>
        </w:rPr>
      </w:pPr>
      <w:r>
        <w:rPr>
          <w:rFonts w:ascii="Times New Roman" w:cs="Times New Roman" w:eastAsia="Times New Roman" w:hAnsi="Times New Roman"/>
          <w:sz w:val="20"/>
          <w:szCs w:val="20"/>
          <w:color w:val="auto"/>
        </w:rPr>
        <w:t>of either LTI-03 or placebo administered twice daily, or BID, for a total dose of 5 mg/day, while participants in the high dose cohort will receive 5 mg BID for a total dose of 10 mg/day. The primary endpoint is the incidence of treatment-emergent adverse events from Day 1 through Week 24. The key secondary endpoint is the efficacy of LTI-03 measured through forced vital capacity, percent predicted FVC and high-resolution computer tomography, in collaboration with Qureight Ltd. Patients will undergo a 28-day screening period prior to being randomized and entering the 24-week treatment period, with a four-week follow-up.</w:t>
      </w:r>
    </w:p>
    <w:p>
      <w:pPr>
        <w:spacing w:after="0" w:line="8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In October 2025, the Company received authorization from the European Medicines Agency, or the EMA, to initiate its Phase 2 RENEW trial of its lead candidate, LTI-03, for the treatment of IPF at sites in Germany and Poland. The Company had previously received regulatory clearance from the UK’s Medicines and Healthcare products Regulatory Agency, or the MHRA. In January 2026, the Company received orphan drug designation from the EMA for LTI-03.</w:t>
      </w:r>
    </w:p>
    <w:p>
      <w:pPr>
        <w:spacing w:after="0" w:line="77"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9"/>
          <w:szCs w:val="19"/>
          <w:color w:val="auto"/>
        </w:rPr>
        <w:t>As of the date of this Annual Report, the Company activated sites and is enrolling patients in the U.S. and is seeking to activate additional sites, enroll patients and initiate the RENEW trial throughout the U.S., UK, Europe and other jurisdictions. In March 2026, the Company dosed its first patient in the RENEW Phase 2 clinical trial of LTI-</w:t>
      </w:r>
    </w:p>
    <w:p>
      <w:pPr>
        <w:spacing w:after="0" w:line="2" w:lineRule="exact"/>
        <w:rPr>
          <w:sz w:val="20"/>
          <w:szCs w:val="20"/>
          <w:color w:val="auto"/>
        </w:rPr>
      </w:pPr>
    </w:p>
    <w:p>
      <w:pPr>
        <w:spacing w:after="0" w:line="270" w:lineRule="auto"/>
        <w:tabs>
          <w:tab w:leader="none" w:pos="30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expects to report initial interim topline data on some proportion of patients in the fourth quarter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Going Concern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 xml:space="preserve">In accordance with Accounting Standards Update, or ASU, No. 2014-15, </w:t>
      </w:r>
      <w:r>
        <w:rPr>
          <w:rFonts w:ascii="Times New Roman" w:cs="Times New Roman" w:eastAsia="Times New Roman" w:hAnsi="Times New Roman"/>
          <w:sz w:val="19"/>
          <w:szCs w:val="19"/>
          <w:i w:val="1"/>
          <w:iCs w:val="1"/>
          <w:color w:val="auto"/>
        </w:rPr>
        <w:t>Disclosures of Uncertainties about an</w:t>
      </w:r>
    </w:p>
    <w:p>
      <w:pPr>
        <w:spacing w:after="0" w:line="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Entity’s Ability to Continue as a Going Concern (Subtopic 205-40)</w:t>
      </w:r>
      <w:r>
        <w:rPr>
          <w:rFonts w:ascii="Times New Roman" w:cs="Times New Roman" w:eastAsia="Times New Roman" w:hAnsi="Times New Roman"/>
          <w:sz w:val="20"/>
          <w:szCs w:val="20"/>
          <w:color w:val="auto"/>
        </w:rPr>
        <w:t>, the Company has evaluated whether there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conditions and events, considered in the aggregate, that raise substantial doubt about the Company’s ability to continue as a going concern within one year after the date the accompanying consolidated financial statements are issued. This evaluation initially does not take into consideration the potential mitigating effect of management’s plans that have not been fully implemented as of the date the consolidated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consolidated financial statements are issued.</w:t>
      </w:r>
    </w:p>
    <w:p>
      <w:pPr>
        <w:spacing w:after="0" w:line="8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assuming that the Company will continue to operate as a going concern, which contemplates the continuity of operations, realization of assets and the satisfaction of liabilities in the ordinary course of business. Through December 31, 2025, the Company has financed its operations primarily through $145,467 in net proceeds from sales of common stock and warrants, $2,201 in net proceeds from sales of common stock under its “at the market” offering programs, $131,211 from sales of preferred stock prior to its initial public offering, or IPO, $34,910 from a collaboration agreement in 2010, $ 17,536 in net proceeds in connection with a private placement following the Lung Acquisition in 2023, $17,675 in net proceeds in connection with an underwritten offering of the Company's common stock and accompanying warrants to purchase common stock in May 2024, $5,082 in net proceeds from the April 2025 Transactions (as defined below) and $2,850 in net proceeds from the Yorkville Transactions described below. As of December 31, 2025, the Company had $3,215 in cash and cash equivalents.</w:t>
      </w:r>
    </w:p>
    <w:p>
      <w:pPr>
        <w:spacing w:after="0" w:line="7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19"/>
          <w:szCs w:val="19"/>
          <w:color w:val="auto"/>
        </w:rPr>
        <w:t>In May 2024, the Company completed an underwritten follow-on public offering, or the Offering, pursuant to which the Company issued and sold 4,273,505 shares of the Company’s common stock, par value $0.001 per share, or the Offering Shares, and accompanying warrants, or the Offering Warrants, to purchase 4,273,505 shares of common stock, or the Offering Warrant Shares. All of the Offering Shares and Offering Warrants were sold by the Company. Each Offering Share was offered and sold together with an accompanying Offering Warrant at a combined public offering price of $4.68, and the underwriter purchased each Offering Share with an accompanying Offering Warrant from the Company, after the underwriting discount, at a combined price of $4.35. Net proceeds from the Offering were $17,675, after deducting underwriting discounts and commissions and offering expenses, and excluding any proceeds that may be received from exercise of the Offering Warrants. The Offering Warrants to purchase 890,138 shares of common stock were exercised in April 2025 as part of April 2025 Transactions (as defined below). As of December 31, 2025, Offering Warrants to purchase 3,388,707 shares of common stock remained outstanding.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2240" w:h="15840" w:orient="portrait"/>
          <w:cols w:equalWidth="0" w:num="1">
            <w:col w:w="9360"/>
          </w:cols>
          <w:pgMar w:left="1440" w:top="1418" w:right="1440" w:bottom="177" w:gutter="0" w:footer="0" w:header="0"/>
        </w:sectPr>
      </w:pPr>
    </w:p>
    <w:bookmarkStart w:id="119" w:name="page120"/>
    <w:bookmarkEnd w:id="119"/>
    <w:p>
      <w:pPr>
        <w:jc w:val="both"/>
        <w:ind w:firstLine="490"/>
        <w:spacing w:after="0" w:line="242" w:lineRule="auto"/>
        <w:rPr>
          <w:sz w:val="20"/>
          <w:szCs w:val="20"/>
          <w:color w:val="auto"/>
        </w:rPr>
      </w:pPr>
      <w:r>
        <w:rPr>
          <w:rFonts w:ascii="Times New Roman" w:cs="Times New Roman" w:eastAsia="Times New Roman" w:hAnsi="Times New Roman"/>
          <w:sz w:val="19"/>
          <w:szCs w:val="19"/>
          <w:color w:val="auto"/>
        </w:rPr>
        <w:t>In April 2025, the Company entered into privately negotiated letter agreements with certain holders of the PIPE Warrants, as described in Note 3, and certain holders of the Offering Warrants, who agreed to exercise for cash the PIPE Warrants and the Offering Warrants, or the Warrant Exercises as further discussed in Note 8. The total gross proceeds for the Warrant Exercises were $1,679. Also in April 2025, the Company entered into privately negotiated letter agreements with additional holders of the PIPE Warrants who, in exchange for pre-funded warrants, or the Exchange Pre-Funded Warrants, surrendered PIPE Warrants to the Company for cancellation and made an aggregate cash payment into which the Exchange Pre- Funded Warrants are exercisable, or the Warrant Exchanges as further discussed in Note 8. The total gross proceeds for the Warrant Exchanges were $3,101. In addition, an entity affiliated with Bios Partners, or the Bios Purchaser, purchased additional pre-funded warrants in a private placement, or the Placement Pre-Funded Warrants, pursuant to a subscription agreement underlying the Placement Pre-Funded Warrants, or the Private Placement. Total gross proceeds for the Private Placement were $500. The Warrant Exercises, Warrant Exchanges and Private Placement are collectively referred to as the April 2025 Transactions.</w:t>
      </w:r>
    </w:p>
    <w:p>
      <w:pPr>
        <w:spacing w:after="0" w:line="8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On May 15, 2025, the Company entered into an “at the market offering” agreement, or the Wainwright Sales Agreement, with H.C. Wainwright &amp; Co., LLC, or H.C. Wainwright, as agent and/or principal, pursuant to which the Company could offer and sell shares of its common stock having an aggregate offering price of up to $13,702 from time to time through or to H.C. Wainwright by any method permitted that is deemed to be an “at the market offering” as defined in Rule 415(a)(4) promulgated under the Securities Act of 1933, as amended. As of December 31, 2025, the Company had issued and sold 999,967 shares of common stock pursuant to the Wainwright Sales Agreement for total net proceeds of $1,489, after deducting transaction fees of $52 paid by the Company. In July 2025, in connection with the Yorkville Transactions, the Company reduced the aggregate offering price of the shares of common stock that could be offered and sold under the Wainwright Sales Agreement to $8,067.</w:t>
      </w:r>
    </w:p>
    <w:p>
      <w:pPr>
        <w:spacing w:after="0" w:line="66" w:lineRule="exact"/>
        <w:rPr>
          <w:sz w:val="20"/>
          <w:szCs w:val="20"/>
          <w:color w:val="auto"/>
        </w:rPr>
      </w:pPr>
    </w:p>
    <w:p>
      <w:pPr>
        <w:jc w:val="both"/>
        <w:ind w:firstLine="490"/>
        <w:spacing w:after="0" w:line="231" w:lineRule="auto"/>
        <w:rPr>
          <w:sz w:val="20"/>
          <w:szCs w:val="20"/>
          <w:color w:val="auto"/>
        </w:rPr>
      </w:pPr>
      <w:r>
        <w:rPr>
          <w:rFonts w:ascii="Times New Roman" w:cs="Times New Roman" w:eastAsia="Times New Roman" w:hAnsi="Times New Roman"/>
          <w:sz w:val="20"/>
          <w:szCs w:val="20"/>
          <w:color w:val="auto"/>
        </w:rPr>
        <w:t>Prior to entering into the Wainwright Sales Agreement, in May 2025, the Company terminated the equity distribution agreement, dated July 26, 2024, or the Equity Distribution Agreement, with Citizens JMP Securities, LLC, or Citizens JMP, as agent and/or principal, under which the Company could offer and sell up to $ 50,000 of shares of its common stock from time to time through or to Citizens JMP by any method that was deemed an “at the market” offering as defined in Rule 415(a)(4) under the Securities Act of 1933, as amended. In January 2025, the Company issued and sold 317,772 shares of common stock pursuant to the Equity Distribution Agreement for total net proceeds of $712, after deducting transaction fees of $22 paid by the Company. The Company did not issue or sell any other shares of common stock pursuant to the Equity Distribution Agreement during the year ended December 31, 2025. The Company did not sell any shares of common stock pursuant to the Equity Distribution Agreement during the year ended December 31, 2024.</w:t>
      </w:r>
    </w:p>
    <w:p>
      <w:pPr>
        <w:spacing w:after="0" w:line="83"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9"/>
          <w:szCs w:val="19"/>
          <w:color w:val="auto"/>
        </w:rPr>
        <w:t>In July 2025, the Company entered into a Pre-Paid Advance Agreement, or the PPA, and a Standby Equity Purchase Agreement, or the SEPA, with YA II PN, Ltd., a Cayman Islands exempt limited partnership, or Yorkville. The PPA and the SEPA are collectively referred to as the Yorkville Transactions. In accordance with the terms of the PPA, the Company may request pre-paid advances of up to $6,000 from Yorkville (each, a “Pre-Paid Advance”) over a 12-month period, subject to certain limitations and conditions set forth in the PPA. Each Pre-Paid Advance will be purchased by Yorkville at 95% of the face amount of the Pre-Paid Advance. At any time there is an outstanding balance under any Pre-Paid Advances, Yorkville may provide written notice requiring the Company to issue and sell shares of its common stock to Yorkville, which shall be offset against and reduce the amounts outstanding under the Pre-Paid Advances. An initial Pre-Paid Advance of $1,000 was purchased on July 29, 2025 by Yorkville, or the First Advance, for net proceeds of $950. On September 8, 2025, Yorkville purchased a second Pre-Paid Advance, or the Second Advance, of $1,000, for which the Company received net proceeds of $950. On October 23, 2025, Yorkville purchased a third Pre-Paid Advance, or the Third Advance, of $1,000, for which the Company received net proceeds of $950. As of December 31, 2025, Yorkville has converted the entire initial Pre-Paid Advance, in the aggregate amount of $1,007 of principal and accrued interest, into 953,765 shares of the Company’s common stock, at a weighted average price per share of approximately $1.056, converted the Second Advance, in the aggregate amount of $1,004 of principal and accrued interest, into 927,107 shares of the Company’s common stock, at a weighted average price per share of approximately $1.082, and converted the Third Advance, in the aggregate amount of $1,001 of principal and accrued interest, into 846,290 shares of the Company’s common stock, at a weighted average price per share of approximately $1.183. Separately, under the SEPA, the Company may sell up to $15,000 of its common stock to Yorkville over a 36-month term. The Company has the sole discretion to initiate such sales, subject to volume and pricing limitations. In connection with entry into the SEPA, the Company paid Yorkville a $300 commitment fee through the issuance of 213,099 shares of common stock and paid $25 in structuring and legal fees. As of the date of this report, the Company has not elected to sell any shares of common stock to Yorkville under the SEPA. In December 2025, the Company elected to terminate the PPA and SEPA.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9360"/>
          </w:cols>
          <w:pgMar w:left="1440" w:top="1406" w:right="1440" w:bottom="177" w:gutter="0" w:footer="0" w:header="0"/>
        </w:sectPr>
      </w:pPr>
    </w:p>
    <w:bookmarkStart w:id="120" w:name="page121"/>
    <w:bookmarkEnd w:id="120"/>
    <w:p>
      <w:pPr>
        <w:jc w:val="both"/>
        <w:ind w:firstLine="490"/>
        <w:spacing w:after="0" w:line="230" w:lineRule="auto"/>
        <w:rPr>
          <w:sz w:val="20"/>
          <w:szCs w:val="20"/>
          <w:color w:val="auto"/>
        </w:rPr>
      </w:pPr>
      <w:r>
        <w:rPr>
          <w:rFonts w:ascii="Times New Roman" w:cs="Times New Roman" w:eastAsia="Times New Roman" w:hAnsi="Times New Roman"/>
          <w:sz w:val="20"/>
          <w:szCs w:val="20"/>
          <w:color w:val="auto"/>
        </w:rPr>
        <w:t>Management believes that, based on the Company’s current operating plan, the Company’s cash and cash equivalents of $3,215 as of December 31, 2025, together with the proceeds received by the Company pursuant to the securities purchase agreements it entered into in January 2026 and February 2026, will be sufficient to enable the Company to fund its planned operating expense and capital expenditure requirements into the second quarter of 2026. The funds are not sufficient to enable the Company to complete the Phase 2 RENEW clinical trial of LTI-03. The Company’s estimate as to how long it expects its existing cash and cash equivalents to be able to continue to fund its operations is based on assumptions that may prove to be wrong, and the Company could use its available capital resources sooner than it currently expects. In addition, the Company’s cash and cash equivalents will not be sufficient to enable the Company to fund its operating expenses and capital expenditure requirements for at least twelve months from the date of issuance of these consolidated financial statements, which raises substantial doubt about the Company’s ability to continue as a going concern.</w:t>
      </w:r>
    </w:p>
    <w:p>
      <w:pPr>
        <w:spacing w:after="0" w:line="78"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color w:val="auto"/>
        </w:rPr>
        <w:t>Since its inception, the Company has not generated any revenue from product sales and has never generated an operating profit. The Company has incurred significant losses on an aggregate basis. The Company’s net losses were $49,871 and $62,883 for the years ended December 31, 2025 and 2024, respectively. As of December 31, 2025, the Company had an accumulated deficit of $401,271. These losses have resulted primarily from costs incurred in connection with research and development activities, licensing and patent investment and general and administrative costs associated with the Company’s operations. The Company expects to continue to incur operating losses for the foreseeable future. The Company expects to finance its operations primarily through utilization of its current financial resources and through the sale of additional equity or debt financings, collaborations, licensing arrangements or other sources.</w:t>
      </w:r>
    </w:p>
    <w:p>
      <w:pPr>
        <w:spacing w:after="0" w:line="6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19"/>
          <w:szCs w:val="19"/>
          <w:color w:val="auto"/>
        </w:rPr>
        <w:t>The Company plans to seek to raise additional funds through equity or debt financings, strategic collaborations, licensing arrangements or other sources. However, there is no assurance that such funding will be available to the Company, will be obtained on terms favorable to the Company or will provide the Company with sufficient funds to meet its objectives. The Company’s funding estimates are based on assumptions that may prove to be wrong, and the Company could use its available capital resources sooner than it currently expects. If additional funds are not available, the Company could be forced to delay, reduce or eliminate its research and development programs or future commercialization efforts and its business could be materially harmed. The Company’s future viability is dependent on its ability to raise additional capital, enter into a financing, consummate a successful acquisition, merger, business combination, or sale of assets or other transaction. If the Company becomes unable to continue as a going concern, it may have to liquidate its assets and the values it receives for its assets in liquidation or dissolution could be significantly lower than the values reflected in its consolidated financial statements. The consolidated financial statements do not include any adjustments that might result from the outcome of this uncertainty.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1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or U.S. GAAP. Any reference in these notes to applicable guidance is meant to refer to the authoritative GAAP as found in the Accounting Standards Codification, or ASC, and as amended by ASUs of the Financial Accounting Standards Board, or FASB.</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1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the Company and its wholly owned subsidiaries, Lung Therapeutics, LLC, Lung Therapeutics Australia Pty Ltd, and Lung Therapeutics Limited. Lung Therapeutics Limited is currently inactive. All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18"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consolidated financial statements include, but are not limited to, the accrual for research and development expenses, the prepaid research and development expenses, valuation of intangibles and goodwill, the valuation of warrants, and the value of stock-based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2240" w:h="15840" w:orient="portrait"/>
          <w:cols w:equalWidth="0" w:num="1">
            <w:col w:w="9360"/>
          </w:cols>
          <w:pgMar w:left="1440" w:top="1406" w:right="1440" w:bottom="177" w:gutter="0" w:footer="0" w:header="0"/>
        </w:sectPr>
      </w:pPr>
    </w:p>
    <w:bookmarkStart w:id="121" w:name="page122"/>
    <w:bookmarkEnd w:id="121"/>
    <w:p>
      <w:pPr>
        <w:jc w:val="both"/>
        <w:spacing w:after="0" w:line="307" w:lineRule="auto"/>
        <w:rPr>
          <w:sz w:val="20"/>
          <w:szCs w:val="20"/>
          <w:color w:val="auto"/>
        </w:rPr>
      </w:pPr>
      <w:r>
        <w:rPr>
          <w:rFonts w:ascii="Times New Roman" w:cs="Times New Roman" w:eastAsia="Times New Roman" w:hAnsi="Times New Roman"/>
          <w:sz w:val="19"/>
          <w:szCs w:val="19"/>
          <w:color w:val="auto"/>
        </w:rPr>
        <w:t>compensation. Estimates are periodically reviewed in light of changes in circumstances, facts and experience. Changes in estimates are recorded in the period in which they become known. Actual results could differ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Transactions</w:t>
      </w:r>
    </w:p>
    <w:p>
      <w:pPr>
        <w:spacing w:after="0" w:line="118"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functional currency for the Company’s wholly owned foreign subsidiary, Lung Therapeutics Australia Pty Ltd., is the United States dollar. All foreign currency transaction gains and losses are recognized in the consolidated statements of operations and comprehensive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of Significant Suppliers</w:t>
      </w:r>
    </w:p>
    <w:p>
      <w:pPr>
        <w:spacing w:after="0" w:line="11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Financial instruments that potentially expose the Company to concentrations of credit risk consist primarily of cash and cash equivalents. Periodically, the Company maintains balances in operating accounts above federally insured limits. The Company deposits its cash in financial institutions that it believes have high credit quality. The Company has not experienced any losses on such accounts and does not believe it is exposed to any significant credit risk on cash and cash equivalents.</w:t>
      </w:r>
    </w:p>
    <w:p>
      <w:pPr>
        <w:spacing w:after="0" w:line="113"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The Company is dependent on third-party manufacturers to supply products for research and development activities of its programs, including preclinical and clinical testing. In particular, the Company relied on a small number of manufacturers to supply it with its requirements for the active pharmaceutical ingredients and formulated drugs related to these programs. These programs could have been adversely affected by a significant interruption in the supply of active pharmaceutical ingredients and formulated drugs.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Company maintains cash balances in various accounts, including those insured by the Federal Deposit Insurance Corporation (FDIC). The FDIC provides insurance coverage up to applicable limits for deposits held in participating financial institutions. At various times, the Company has deposits in these financial institutions in excess of the amount insured by the FDIC.</w:t>
      </w:r>
    </w:p>
    <w:p>
      <w:pPr>
        <w:spacing w:after="0" w:line="11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Company considers all short-term, highly liquid investments with original maturities of 90 days or less at the acquisition date to be cash equivalents. The Company’s cash equivalents are comprised of funds held in money market accounts and treasury bills account and are measured at fair value on a recurring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1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 xml:space="preserve">Certain assets and liabilities are carried at fair value under GAAP.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or ASC 820, establishes a fair value hierarchy for instruments measured at fair value that distinguishes between assumptions based on market data (observable inputs) and the Company’s own assumptions (unobservable inputs).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1—Quoted prices in active markets for identical assets or liabilities.</w:t>
      </w:r>
    </w:p>
    <w:p>
      <w:pPr>
        <w:spacing w:after="0" w:line="134"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9"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65"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2240" w:h="15840" w:orient="portrait"/>
          <w:cols w:equalWidth="0" w:num="1">
            <w:col w:w="9360"/>
          </w:cols>
          <w:pgMar w:left="1440" w:top="1418" w:right="1440" w:bottom="177" w:gutter="0" w:footer="0" w:header="0"/>
        </w:sectPr>
      </w:pPr>
    </w:p>
    <w:bookmarkStart w:id="122" w:name="page123"/>
    <w:bookmarkEnd w:id="122"/>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Company’s cash equivalents are carried at fair value, determined according to the fair value hierarchy described above (see Note 3). The carrying values of the Company’s accounts payable and accrued expenses approximate their fair value due to the short-term nature of these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Indefinite-Lived Intangible Assets</w:t>
      </w:r>
    </w:p>
    <w:p>
      <w:pPr>
        <w:spacing w:after="0" w:line="11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 xml:space="preserve">Goodwill represents the excess of the purchase price of an acquired business over the amount assigned to the assets acquired and liabilities assumed. The Company's indefinite-lived intangible assets, which consist of in-process research and development, or IPR&amp;D, acquired in the Lung Acquisition were recorded at fair value on their acquisition date. Goodwill and indefinite-lived intangible assets are not amortized but are subject to impairment testing on an annual basis as of December 31 or more frequently if events or circumstances indicate a potential impairment. The Company accounts for goodwill and indefinite-lived intangible assets in accordance with ASC 350, </w:t>
      </w:r>
      <w:r>
        <w:rPr>
          <w:rFonts w:ascii="Times New Roman" w:cs="Times New Roman" w:eastAsia="Times New Roman" w:hAnsi="Times New Roman"/>
          <w:sz w:val="20"/>
          <w:szCs w:val="20"/>
          <w:i w:val="1"/>
          <w:iCs w:val="1"/>
          <w:color w:val="auto"/>
        </w:rPr>
        <w:t>Intangibles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Goodwill and Other</w:t>
      </w:r>
      <w:r>
        <w:rPr>
          <w:rFonts w:ascii="Times New Roman" w:cs="Times New Roman" w:eastAsia="Times New Roman" w:hAnsi="Times New Roman"/>
          <w:sz w:val="20"/>
          <w:szCs w:val="20"/>
          <w:color w:val="auto"/>
        </w:rPr>
        <w:t>, and ASU 2017-04,</w:t>
      </w:r>
      <w:r>
        <w:rPr>
          <w:rFonts w:ascii="Times New Roman" w:cs="Times New Roman" w:eastAsia="Times New Roman" w:hAnsi="Times New Roman"/>
          <w:sz w:val="20"/>
          <w:szCs w:val="20"/>
          <w:i w:val="1"/>
          <w:iCs w:val="1"/>
          <w:color w:val="auto"/>
        </w:rPr>
        <w:t xml:space="preserve"> Intangibles - Goodwill and Other (Topic 350): Simplifying the Test for Goodwill Impairment</w:t>
      </w:r>
      <w:r>
        <w:rPr>
          <w:rFonts w:ascii="Times New Roman" w:cs="Times New Roman" w:eastAsia="Times New Roman" w:hAnsi="Times New Roman"/>
          <w:sz w:val="20"/>
          <w:szCs w:val="20"/>
          <w:color w:val="auto"/>
        </w:rPr>
        <w:t>. The Company’s goodwill and intangible assets are not deductible for tax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1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Long-lived assets consist of property and equipment, goodwill and intangible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w:t>
      </w:r>
    </w:p>
    <w:p>
      <w:pPr>
        <w:spacing w:after="0" w:line="122"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performing the Company’s annual goodwill impairment test, the Company is permitted to first assess qualitative factors to determine whether it is more likely than not that the fair value of the Company’s reporting unit exceeds its carrying amount, including goodwill. In performing the qualitative assessment, the Company considers certain events and circumstances specific to the reporting unit and to the entity as a whole, such as macroeconomic conditions, industry and market considerations, overall financial performance and cost factors when evaluating whether it is more likely than not that the fair value of the reporting unit exceeds its carrying amount. The Company is also permitted to bypass the qualitative assessment and proceed directly to the quantitative assessment. If the Company chooses to undertake the qualitative assessment and concludes that it is more likely than not that the fair value of the reporting unit is less than its carrying amount, the Company would then proceed to the quantitative impairment assessment. In the quantitative assessment, the Company compares the fair value of the reporting unit to its carrying amount, which includes goodwill. If the fair value exceeds the carrying value, no impairment loss exists. If the fair value is less than the carrying amount, a goodwill impairment loss is measured and recorded.</w:t>
      </w:r>
    </w:p>
    <w:p>
      <w:pPr>
        <w:spacing w:after="0" w:line="125"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In the fourth quarter of 2025, the Company recorded an impairment loss on intangible assets of $28,700. For additional details regarding goodwill and intangible assets, refer to Note 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X Convertible Preferred Stock</w:t>
      </w:r>
    </w:p>
    <w:p>
      <w:pPr>
        <w:spacing w:after="0" w:line="11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Company has classified its Series X convertible preferred stock, referred to as Series X Preferred Stock, as temporary equity in the accompanying consolidated balance sheets due to terms that allow for redemption of the shares in cash upon certain change in control events that are outside of the Company’s control, including sale or transfer of control of the Company as holders of the Series X Preferred Stock could cause redemption of the shares in these situations. The Company did not accrete the carrying values of the preferred stock to the redemption values since a liquidation event was not considered probable as of December 31, 2025 or December 31, 2024. Subsequent adjustments of the carrying values to the ultimate redemption values will be made only when it becomes probable that such a liquidation event will occur</w:t>
      </w:r>
      <w:r>
        <w:rPr>
          <w:rFonts w:ascii="Times New Roman" w:cs="Times New Roman" w:eastAsia="Times New Roman" w:hAnsi="Times New Roman"/>
          <w:sz w:val="20"/>
          <w:szCs w:val="20"/>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9360"/>
          </w:cols>
          <w:pgMar w:left="1440" w:top="1418" w:right="1440" w:bottom="177"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11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are comprised of costs incurred in performing research and development activities, including stock-based compensation and benefits, facilities costs, costs of clinical trials, sponsored research, manufacturing, and external costs of outside vendors engaged to conduct preclinical development activities and trials.</w:t>
      </w:r>
    </w:p>
    <w:p>
      <w:pPr>
        <w:spacing w:after="0" w:line="110"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Costs incurred in obtaining technology licenses are immediately recognized as research and development expense if the technology licensed has not reached technological feasibility and has no alternative future uses.</w:t>
      </w:r>
    </w:p>
    <w:p>
      <w:pPr>
        <w:spacing w:after="0" w:line="84"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auto"/>
        </w:rPr>
        <w:t>The Company has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 Research and development expenses include costs for salaries, employee benefits, subcontractors, facility-related expenses, depreciation and amortization, stock-based compensation, laboratory supplies, and external costs of outside vendors engaged to conduct discovery, preclinical and clinical development activities, and clinical trials as well as to manufacture clinical trial materials, and other costs.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the Company’s estimates. 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117"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Upfront payments, milestone payments and annual maintenance fees under license agreements are expensed in the period in which they are incurred in the consolidated statements of operations and comprehensive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118"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Stock-Based Compensation</w:t>
      </w:r>
    </w:p>
    <w:p>
      <w:pPr>
        <w:spacing w:after="0" w:line="11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Company measures all stock options and other stock-based awards granted to employees, directors and non-employee consultants based on the fair value on the date of the grant and recognizes compensation expense of those awards, net of forfeitures, over the requisite service period, which is generally the vesting period of the respective award. The Company applies the straight-line method of expense recognition to all awards with only service-based vesting conditions and applies the graded vesting method to all awards with performance-based vesting conditions or both service-based and performance-based vesting conditions.</w:t>
      </w:r>
    </w:p>
    <w:p>
      <w:pPr>
        <w:spacing w:after="0" w:line="119"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The Company recognizes compensation expense for only the portion of awards that are expected to vest. The Company accounts for forfeitures as they occur. For performance-based awards, the Company does not recognize expense until the underlying vesting conditions are deemed to be probable of occurrence.</w:t>
      </w:r>
    </w:p>
    <w:p>
      <w:pPr>
        <w:spacing w:after="0" w:line="10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Company classifies share-based compensation expenses in its consolidated statement of operations and comprehensive loss in the same manner in which the award recipient's payroll costs are classified or in which the award recipient's service payments are classified, either to general and administrative expenses or research and development expenses.</w:t>
      </w:r>
    </w:p>
    <w:p>
      <w:pPr>
        <w:spacing w:after="0" w:line="110"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The fair value of each stock option grant is estimated on the date of grant using the Black-Scholes option-pricing model. The Company estimates its expected stock volatility using a combination of its own historical stock price volatility and the historical volatilities of a group of peer companies in its industry with similar market characteristics.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9360"/>
          </w:cols>
          <w:pgMar w:left="1440" w:top="1419" w:right="1440" w:bottom="177" w:gutter="0" w:footer="0" w:header="0"/>
        </w:sectPr>
      </w:pPr>
    </w:p>
    <w:bookmarkStart w:id="124" w:name="page125"/>
    <w:bookmarkEnd w:id="124"/>
    <w:p>
      <w:pPr>
        <w:jc w:val="both"/>
        <w:spacing w:after="0" w:line="253" w:lineRule="auto"/>
        <w:rPr>
          <w:sz w:val="20"/>
          <w:szCs w:val="20"/>
          <w:color w:val="auto"/>
        </w:rPr>
      </w:pPr>
      <w:r>
        <w:rPr>
          <w:rFonts w:ascii="Times New Roman" w:cs="Times New Roman" w:eastAsia="Times New Roman" w:hAnsi="Times New Roman"/>
          <w:sz w:val="20"/>
          <w:szCs w:val="20"/>
          <w:color w:val="auto"/>
        </w:rPr>
        <w:t>approximately equal to the expected term of the award. Expected dividend yield is based on the fact that the Company has never paid cash dividends and does not expect to pay any cash dividends in the foreseeable future. The quoted market price of the Company’s common stock is used to estimate the fair value of the stock-based awards at grant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w:t>
      </w:r>
    </w:p>
    <w:p>
      <w:pPr>
        <w:spacing w:after="0" w:line="111"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Changes in valuation allowances from period to period are included in the Company’s tax provision in the period of change. Potential for recovery of deferred tax assets is evaluated by estimating the future taxable profits expected and considering prudent and feasible tax planning strategies.</w:t>
      </w:r>
    </w:p>
    <w:p>
      <w:pPr>
        <w:spacing w:after="0" w:line="11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Reduction Act of 2022</w:t>
      </w:r>
    </w:p>
    <w:p>
      <w:pPr>
        <w:spacing w:after="0" w:line="11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On August 16, 2022, the Inflation Reduction Act of 2022, or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or Treasury, has been given authority to provide regulations and other guidance to carry out and prevent the abuse or avoidance of the excise tax.</w:t>
      </w:r>
    </w:p>
    <w:p>
      <w:pPr>
        <w:spacing w:after="0" w:line="121"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private investment in public equity, or the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2240" w:h="15840" w:orient="portrait"/>
          <w:cols w:equalWidth="0" w:num="1">
            <w:col w:w="9360"/>
          </w:cols>
          <w:pgMar w:left="1440" w:top="1418" w:right="1440" w:bottom="177" w:gutter="0" w:footer="0" w:header="0"/>
        </w:sectPr>
      </w:pPr>
    </w:p>
    <w:bookmarkStart w:id="125" w:name="page126"/>
    <w:bookmarkEnd w:id="125"/>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about which separate financial information is available that is evaluated regularly by the chief operating decision maker, or CODM, in deciding how to allocate resources and in assessing performance. The Company’s CODM is its Chief Executive Officer, or CEO. The Company operates and manages its business as a single operating and reportable segment on a consolidated basis, which is consistent with how its CODM reviews financial performance and allocates resources.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1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Comprehensive loss includes net loss as well as other changes in stockholders’ equity (deficit) that result from transactions and economic events other than those with stockholders. The Company’s other comprehensive loss in all periods presented includes unrealized gains (losses) on available-for-sale investments and foreign currency translation adjustments.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1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computed by dividing the net loss attributable to common stockholders by the weighted average number of shares of common stock outstanding for the period. Diluted net loss attributable to common stockholders is computed by adjusting loss per share attributable to common stockholders to reallocate undistributed earnings based on the potential impact of dilutive securities. Diluted net loss per share attributable to common stockholders is computed by dividing the net loss attributable to common stockholders by the weighted average number of shares of common stock outstanding for the period, including potential dilutive common shares. For purpose of this calculation, Series X non-voting convertible preferred stock, outstanding options and warrants to purchase common stock are considered potentially dilutive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1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2024-04, </w:t>
      </w:r>
      <w:r>
        <w:rPr>
          <w:rFonts w:ascii="Times New Roman" w:cs="Times New Roman" w:eastAsia="Times New Roman" w:hAnsi="Times New Roman"/>
          <w:sz w:val="20"/>
          <w:szCs w:val="20"/>
          <w:i w:val="1"/>
          <w:iCs w:val="1"/>
          <w:color w:val="auto"/>
        </w:rPr>
        <w:t>Debt—Debt with Conversion and Other Options (Subtopic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470-20): Induced Conversions of Convertible Debt Instruments</w:t>
      </w:r>
      <w:r>
        <w:rPr>
          <w:rFonts w:ascii="Times New Roman" w:cs="Times New Roman" w:eastAsia="Times New Roman" w:hAnsi="Times New Roman"/>
          <w:sz w:val="20"/>
          <w:szCs w:val="20"/>
          <w:color w:val="auto"/>
        </w:rPr>
        <w:t>, to improve relevance and consistency in application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the induced conversion guidance in Subtopic 470-20. The ASU 2024-04 is effective for all entities for annual reporting periods beginning after December 15, 2025, and interim reporting periods within those annual reporting periods. Early adoption is permitted as of the beginning of the annual reporting period for all entities that have adopted the amendments in ASU 2020-06, </w:t>
      </w:r>
      <w:r>
        <w:rPr>
          <w:rFonts w:ascii="Times New Roman" w:cs="Times New Roman" w:eastAsia="Times New Roman" w:hAnsi="Times New Roman"/>
          <w:sz w:val="20"/>
          <w:szCs w:val="20"/>
          <w:i w:val="1"/>
          <w:iCs w:val="1"/>
          <w:color w:val="auto"/>
        </w:rPr>
        <w:t>Debt—Debt with Conversion and Other Options and Derivatives and Hedging—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Contracts in Entity's Own Equity: Accounting for Convertible Instruments and Contracts in an Entity's Own Equity. </w:t>
      </w:r>
      <w:r>
        <w:rPr>
          <w:rFonts w:ascii="Times New Roman" w:cs="Times New Roman" w:eastAsia="Times New Roman" w:hAnsi="Times New Roman"/>
          <w:sz w:val="20"/>
          <w:szCs w:val="20"/>
          <w:color w:val="auto"/>
        </w:rPr>
        <w:t>The Company is currently assessing the effect of this ASU on its consolidated financial statements and related disclosures.</w:t>
      </w:r>
    </w:p>
    <w:p>
      <w:pPr>
        <w:spacing w:after="0" w:line="125"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 xml:space="preserve">In March 2024, the FASB issued ASU 2024-02, </w:t>
      </w:r>
      <w:r>
        <w:rPr>
          <w:rFonts w:ascii="Times New Roman" w:cs="Times New Roman" w:eastAsia="Times New Roman" w:hAnsi="Times New Roman"/>
          <w:sz w:val="20"/>
          <w:szCs w:val="20"/>
          <w:i w:val="1"/>
          <w:iCs w:val="1"/>
          <w:color w:val="auto"/>
        </w:rPr>
        <w:t>Codification Improvements—Amendments to Remove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References to the Concepts Statements</w:t>
      </w:r>
      <w:r>
        <w:rPr>
          <w:rFonts w:ascii="Times New Roman" w:cs="Times New Roman" w:eastAsia="Times New Roman" w:hAnsi="Times New Roman"/>
          <w:sz w:val="20"/>
          <w:szCs w:val="20"/>
          <w:color w:val="auto"/>
        </w:rPr>
        <w:t>, that contains amendments to the Codification that remove references to various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FASB Concepts Statements. This effort facilitates Codification updates for technical corrections such as conforming amendments, clarifications to guidance, simplifications to wording or the structure of guidance, and other minor improvements. Adoption of this guidance did not have a material impact on the Company’s consolidated financial statements.</w:t>
      </w:r>
    </w:p>
    <w:p>
      <w:pPr>
        <w:spacing w:after="0" w:line="11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In March 2024, the FASB issued ASU 2024-01, </w:t>
      </w:r>
      <w:r>
        <w:rPr>
          <w:rFonts w:ascii="Times New Roman" w:cs="Times New Roman" w:eastAsia="Times New Roman" w:hAnsi="Times New Roman"/>
          <w:sz w:val="20"/>
          <w:szCs w:val="20"/>
          <w:i w:val="1"/>
          <w:iCs w:val="1"/>
          <w:color w:val="auto"/>
        </w:rPr>
        <w:t>Compensation—Stock Compensation (Topic 718): Scope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Application of Profits Interest and Similar Awards</w:t>
      </w:r>
      <w:r>
        <w:rPr>
          <w:rFonts w:ascii="Times New Roman" w:cs="Times New Roman" w:eastAsia="Times New Roman" w:hAnsi="Times New Roman"/>
          <w:sz w:val="20"/>
          <w:szCs w:val="20"/>
          <w:color w:val="auto"/>
        </w:rPr>
        <w:t>, to improve GAAP by adding an illustrative example that includes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four fact patterns to demonstrate how an entity should apply the scope guidance in paragraph 718-10-15-3 to determine whether a profits interest award should be accounted for in accordance with Topic 718, </w:t>
      </w:r>
      <w:r>
        <w:rPr>
          <w:rFonts w:ascii="Times New Roman" w:cs="Times New Roman" w:eastAsia="Times New Roman" w:hAnsi="Times New Roman"/>
          <w:sz w:val="20"/>
          <w:szCs w:val="20"/>
          <w:i w:val="1"/>
          <w:iCs w:val="1"/>
          <w:color w:val="auto"/>
        </w:rPr>
        <w:t>Compensation—Stock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For public business entities, the amendments in this ASU are effective for annual periods beginning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after December 15, 2024. Adoption of this guidance did not have a material impact on the Company’s consolidated financial statements.</w:t>
      </w:r>
    </w:p>
    <w:p>
      <w:pPr>
        <w:spacing w:after="0" w:line="12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to enhance the transparency and decision usefulness of income tax disclosures by requiring disaggregated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about an entity’s effective tax rate reconciliation, as well as information on taxes paid. This ASU is effective for annual periods beginning after December 15, 2024. The Company has adopted this ASU prospectively for the year ended December 31, 2025 and prepared the required disclosures, refer to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F-18</w:t>
      </w:r>
    </w:p>
    <w:p>
      <w:pPr>
        <w:sectPr>
          <w:pgSz w:w="12240" w:h="15840" w:orient="portrait"/>
          <w:cols w:equalWidth="0" w:num="1">
            <w:col w:w="9360"/>
          </w:cols>
          <w:pgMar w:left="1440" w:top="1418" w:right="1440" w:bottom="177" w:gutter="0" w:footer="0" w:header="0"/>
        </w:sectPr>
      </w:pPr>
    </w:p>
    <w:bookmarkStart w:id="126" w:name="page127"/>
    <w:bookmarkEnd w:id="126"/>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to improve reportable segment disclosure requirements, primarily through enhanced disclosures about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significant segment expenses. This ASU is effective for fiscal years beginning after December 15, 2023 and interim periods within fiscal years beginning after December 15, 2024. On January 1, 2023, the Company adopted this ASU. The Company has evaluated the impact of the new requirements and prepared the required disclosures. Refer to Note 2 for the Company's segment reporting accounting policy and Note 13 for a summary of the segment loss, including significant segment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 Not Yet Adopted</w:t>
      </w:r>
    </w:p>
    <w:p>
      <w:pPr>
        <w:spacing w:after="0" w:line="11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2025-12, </w:t>
      </w:r>
      <w:r>
        <w:rPr>
          <w:rFonts w:ascii="Times New Roman" w:cs="Times New Roman" w:eastAsia="Times New Roman" w:hAnsi="Times New Roman"/>
          <w:sz w:val="20"/>
          <w:szCs w:val="20"/>
          <w:i w:val="1"/>
          <w:iCs w:val="1"/>
          <w:color w:val="auto"/>
        </w:rPr>
        <w:t>Codification Improvements</w:t>
      </w:r>
      <w:r>
        <w:rPr>
          <w:rFonts w:ascii="Times New Roman" w:cs="Times New Roman" w:eastAsia="Times New Roman" w:hAnsi="Times New Roman"/>
          <w:sz w:val="20"/>
          <w:szCs w:val="20"/>
          <w:color w:val="auto"/>
        </w:rPr>
        <w:t>. The amendments include technical corrections, clarifications, and minor improvements to various Topics within the FASB ASC. The ASU is effective for annual reporting periods beginning after December 15, 2026, and interim periods within those annual reporting periods, with early adoption permitted. Adoption of this guidance is not expected to have a material impact on the Company’s consolidated financial statements.</w:t>
      </w:r>
    </w:p>
    <w:p>
      <w:pPr>
        <w:spacing w:after="0" w:line="11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i w:val="1"/>
          <w:iCs w:val="1"/>
          <w:color w:val="auto"/>
        </w:rPr>
        <w:t>Interim Reporting (Topic 270): Narrow-Scope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Improvements</w:t>
      </w:r>
      <w:r>
        <w:rPr>
          <w:rFonts w:ascii="Times New Roman" w:cs="Times New Roman" w:eastAsia="Times New Roman" w:hAnsi="Times New Roman"/>
          <w:sz w:val="20"/>
          <w:szCs w:val="20"/>
          <w:color w:val="auto"/>
        </w:rPr>
        <w:t>. The amendments clarify the application of interim reporting guidance, including when Topic 270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applies, and improve the consistency and usefulness of interim disclosures. The amendments are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Early adoption is permitted for all entities. The Company is currently assessing the effect of this ASU on its consolidated financial statements and related disclosures.</w:t>
      </w:r>
    </w:p>
    <w:p>
      <w:pPr>
        <w:spacing w:after="0" w:line="12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In January 2025, the FASB issued ASU 2025-01, </w:t>
      </w:r>
      <w:r>
        <w:rPr>
          <w:rFonts w:ascii="Times New Roman" w:cs="Times New Roman" w:eastAsia="Times New Roman" w:hAnsi="Times New Roman"/>
          <w:sz w:val="20"/>
          <w:szCs w:val="20"/>
          <w:i w:val="1"/>
          <w:iCs w:val="1"/>
          <w:color w:val="auto"/>
        </w:rPr>
        <w:t>Income Statement—Reporting Comprehensive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 Disaggregation Disclosures (Subtopic 220-40): Clarifying the Effective Date</w:t>
      </w:r>
      <w:r>
        <w:rPr>
          <w:rFonts w:ascii="Times New Roman" w:cs="Times New Roman" w:eastAsia="Times New Roman" w:hAnsi="Times New Roman"/>
          <w:sz w:val="20"/>
          <w:szCs w:val="20"/>
          <w:color w:val="auto"/>
        </w:rPr>
        <w:t>, to clarify the effective date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ASU 2024-03, Income Statement—Reporting Comprehensive Income: Disaggregation of Income Statement Expenses. FASB clarified that all public business entities should initially adopt the disclosure requirements in the ASU 2024-03 in the first annual reporting period beginning after December 15, 2026, and interim reporting periods within annual reporting periods beginning after December 15, 2027. The Company is currently assessing the effect of this ASU on its consolidated financial statements and related disclosures.</w:t>
      </w:r>
    </w:p>
    <w:p>
      <w:pPr>
        <w:spacing w:after="0" w:line="120"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 xml:space="preserve">In November 2024, the FASB issued ASU 2024-03, </w:t>
      </w:r>
      <w:r>
        <w:rPr>
          <w:rFonts w:ascii="Times New Roman" w:cs="Times New Roman" w:eastAsia="Times New Roman" w:hAnsi="Times New Roman"/>
          <w:sz w:val="19"/>
          <w:szCs w:val="19"/>
          <w:i w:val="1"/>
          <w:iCs w:val="1"/>
          <w:color w:val="auto"/>
        </w:rPr>
        <w:t>Income Statement—Reporting Comprehensive Income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(Topic 220): Disaggregation of Income Statement Expenses</w:t>
      </w:r>
      <w:r>
        <w:rPr>
          <w:rFonts w:ascii="Times New Roman" w:cs="Times New Roman" w:eastAsia="Times New Roman" w:hAnsi="Times New Roman"/>
          <w:sz w:val="19"/>
          <w:szCs w:val="19"/>
          <w:color w:val="auto"/>
        </w:rPr>
        <w:t>, to enhance the transparency and decision usefulness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financial information presented in the income statement by requiring disaggregated information about certain income statement expense line items. The amendments apply to all public business entities. This ASU is effective for annual periods beginning after December 15, 2026, and interim reporting periods beginning after December 15, 2027. The Company is currently assessing the effect of this ASU on its consolidated financial statements and related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of Financial Assets</w:t>
      </w:r>
    </w:p>
    <w:p>
      <w:pPr>
        <w:spacing w:after="0" w:line="122"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assets that are measured at fair value on a recurring basis and indicate the level of the fair value hierarchy utilized to determine such fair values:</w:t>
      </w:r>
    </w:p>
    <w:p>
      <w:pPr>
        <w:spacing w:after="0" w:line="9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2960" w:type="dxa"/>
            <w:vAlign w:val="bottom"/>
            <w:tcBorders>
              <w:bottom w:val="single" w:sz="8" w:color="E7E7E7"/>
            </w:tcBorders>
          </w:tcPr>
          <w:p>
            <w:pPr>
              <w:spacing w:after="0"/>
              <w:rPr>
                <w:sz w:val="16"/>
                <w:szCs w:val="16"/>
                <w:color w:val="auto"/>
              </w:rPr>
            </w:pPr>
          </w:p>
        </w:tc>
        <w:tc>
          <w:tcPr>
            <w:tcW w:w="1340" w:type="dxa"/>
            <w:vAlign w:val="bottom"/>
            <w:tcBorders>
              <w:bottom w:val="single" w:sz="8" w:color="E7E7E7"/>
            </w:tcBorders>
          </w:tcPr>
          <w:p>
            <w:pPr>
              <w:spacing w:after="0"/>
              <w:rPr>
                <w:sz w:val="16"/>
                <w:szCs w:val="16"/>
                <w:color w:val="auto"/>
              </w:rPr>
            </w:pPr>
          </w:p>
        </w:tc>
        <w:tc>
          <w:tcPr>
            <w:tcW w:w="20" w:type="dxa"/>
            <w:vAlign w:val="bottom"/>
            <w:tcBorders>
              <w:bottom w:val="single" w:sz="8" w:color="E7E7E7"/>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Borders>
              <w:top w:val="single" w:sz="8" w:color="auto"/>
              <w:bottom w:val="single" w:sz="8" w:color="E7E7E7"/>
            </w:tcBorders>
          </w:tcPr>
          <w:p>
            <w:pPr>
              <w:spacing w:after="0"/>
              <w:rPr>
                <w:sz w:val="16"/>
                <w:szCs w:val="16"/>
                <w:color w:val="auto"/>
              </w:rPr>
            </w:pPr>
          </w:p>
        </w:tc>
        <w:tc>
          <w:tcPr>
            <w:tcW w:w="20" w:type="dxa"/>
            <w:vAlign w:val="bottom"/>
            <w:tcBorders>
              <w:top w:val="single" w:sz="8" w:color="auto"/>
              <w:bottom w:val="single" w:sz="8" w:color="E7E7E7"/>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Borders>
              <w:top w:val="single" w:sz="8" w:color="auto"/>
              <w:bottom w:val="single" w:sz="8" w:color="E7E7E7"/>
            </w:tcBorders>
          </w:tcPr>
          <w:p>
            <w:pPr>
              <w:spacing w:after="0"/>
              <w:rPr>
                <w:sz w:val="16"/>
                <w:szCs w:val="16"/>
                <w:color w:val="auto"/>
              </w:rPr>
            </w:pPr>
          </w:p>
        </w:tc>
        <w:tc>
          <w:tcPr>
            <w:tcW w:w="20" w:type="dxa"/>
            <w:vAlign w:val="bottom"/>
            <w:tcBorders>
              <w:top w:val="single" w:sz="8" w:color="auto"/>
              <w:bottom w:val="single" w:sz="8" w:color="E7E7E7"/>
            </w:tcBorders>
          </w:tcPr>
          <w:p>
            <w:pPr>
              <w:spacing w:after="0"/>
              <w:rPr>
                <w:sz w:val="16"/>
                <w:szCs w:val="16"/>
                <w:color w:val="auto"/>
              </w:rPr>
            </w:pPr>
          </w:p>
        </w:tc>
        <w:tc>
          <w:tcPr>
            <w:tcW w:w="90" w:type="dxa"/>
            <w:vAlign w:val="bottom"/>
            <w:tcBorders>
              <w:top w:val="single" w:sz="8" w:color="auto"/>
              <w:bottom w:val="single" w:sz="8" w:color="auto"/>
            </w:tcBorders>
          </w:tcPr>
          <w:p>
            <w:pPr>
              <w:spacing w:after="0"/>
              <w:rPr>
                <w:sz w:val="16"/>
                <w:szCs w:val="16"/>
                <w:color w:val="auto"/>
              </w:rPr>
            </w:pPr>
          </w:p>
        </w:tc>
        <w:tc>
          <w:tcPr>
            <w:tcW w:w="750" w:type="dxa"/>
            <w:vAlign w:val="bottom"/>
            <w:tcBorders>
              <w:top w:val="single" w:sz="8" w:color="auto"/>
              <w:bottom w:val="single" w:sz="8" w:color="auto"/>
            </w:tcBorders>
          </w:tcPr>
          <w:p>
            <w:pPr>
              <w:ind w:left="7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E7E7E7"/>
            </w:tcBorders>
          </w:tcPr>
          <w:p>
            <w:pPr>
              <w:spacing w:after="0"/>
              <w:rPr>
                <w:sz w:val="16"/>
                <w:szCs w:val="16"/>
                <w:color w:val="auto"/>
              </w:rPr>
            </w:pPr>
          </w:p>
        </w:tc>
        <w:tc>
          <w:tcPr>
            <w:tcW w:w="20" w:type="dxa"/>
            <w:vAlign w:val="bottom"/>
            <w:tcBorders>
              <w:top w:val="single" w:sz="8" w:color="auto"/>
              <w:bottom w:val="single" w:sz="8" w:color="E7E7E7"/>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E7E7E7"/>
            </w:tcBorders>
          </w:tcPr>
          <w:p>
            <w:pPr>
              <w:spacing w:after="0"/>
              <w:rPr>
                <w:sz w:val="16"/>
                <w:szCs w:val="16"/>
                <w:color w:val="auto"/>
              </w:rPr>
            </w:pPr>
          </w:p>
        </w:tc>
      </w:tr>
      <w:tr>
        <w:trPr>
          <w:trHeight w:val="229"/>
        </w:trPr>
        <w:tc>
          <w:tcPr>
            <w:tcW w:w="296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134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760" w:type="dxa"/>
            <w:vAlign w:val="bottom"/>
            <w:shd w:val="clear" w:color="auto" w:fill="E7E7E7"/>
          </w:tcPr>
          <w:p>
            <w:pPr>
              <w:spacing w:after="0"/>
              <w:rPr>
                <w:sz w:val="19"/>
                <w:szCs w:val="19"/>
                <w:color w:val="auto"/>
              </w:rPr>
            </w:pPr>
          </w:p>
        </w:tc>
        <w:tc>
          <w:tcPr>
            <w:tcW w:w="16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760" w:type="dxa"/>
            <w:vAlign w:val="bottom"/>
            <w:shd w:val="clear" w:color="auto" w:fill="E7E7E7"/>
          </w:tcPr>
          <w:p>
            <w:pPr>
              <w:spacing w:after="0"/>
              <w:rPr>
                <w:sz w:val="19"/>
                <w:szCs w:val="19"/>
                <w:color w:val="auto"/>
              </w:rPr>
            </w:pPr>
          </w:p>
        </w:tc>
        <w:tc>
          <w:tcPr>
            <w:tcW w:w="18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75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6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760" w:type="dxa"/>
            <w:vAlign w:val="bottom"/>
            <w:shd w:val="clear" w:color="auto" w:fill="E7E7E7"/>
          </w:tcPr>
          <w:p>
            <w:pPr>
              <w:spacing w:after="0"/>
              <w:rPr>
                <w:sz w:val="19"/>
                <w:szCs w:val="19"/>
                <w:color w:val="auto"/>
              </w:rPr>
            </w:pPr>
          </w:p>
        </w:tc>
        <w:tc>
          <w:tcPr>
            <w:tcW w:w="80" w:type="dxa"/>
            <w:vAlign w:val="bottom"/>
            <w:shd w:val="clear" w:color="auto" w:fill="E7E7E7"/>
          </w:tcPr>
          <w:p>
            <w:pPr>
              <w:spacing w:after="0"/>
              <w:rPr>
                <w:sz w:val="19"/>
                <w:szCs w:val="19"/>
                <w:color w:val="auto"/>
              </w:rPr>
            </w:pPr>
          </w:p>
        </w:tc>
      </w:tr>
      <w:tr>
        <w:trPr>
          <w:trHeight w:val="245"/>
        </w:trPr>
        <w:tc>
          <w:tcPr>
            <w:tcW w:w="2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750" w:type="dxa"/>
            <w:vAlign w:val="bottom"/>
          </w:tcPr>
          <w:p>
            <w:pPr>
              <w:ind w:left="55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3,130</w:t>
            </w:r>
          </w:p>
        </w:tc>
        <w:tc>
          <w:tcPr>
            <w:tcW w:w="80" w:type="dxa"/>
            <w:vAlign w:val="bottom"/>
          </w:tcPr>
          <w:p>
            <w:pPr>
              <w:spacing w:after="0"/>
              <w:rPr>
                <w:sz w:val="21"/>
                <w:szCs w:val="21"/>
                <w:color w:val="auto"/>
              </w:rPr>
            </w:pPr>
          </w:p>
        </w:tc>
      </w:tr>
      <w:tr>
        <w:trPr>
          <w:trHeight w:val="244"/>
        </w:trPr>
        <w:tc>
          <w:tcPr>
            <w:tcW w:w="296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Treasury bills</w:t>
            </w:r>
          </w:p>
        </w:tc>
        <w:tc>
          <w:tcPr>
            <w:tcW w:w="13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76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760" w:type="dxa"/>
            <w:vAlign w:val="bottom"/>
            <w:tcBorders>
              <w:bottom w:val="single" w:sz="8" w:color="auto"/>
            </w:tcBorders>
            <w:shd w:val="clear" w:color="auto" w:fill="E7E7E7"/>
          </w:tcPr>
          <w:p>
            <w:pPr>
              <w:ind w:left="5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90" w:type="dxa"/>
            <w:vAlign w:val="bottom"/>
            <w:tcBorders>
              <w:bottom w:val="single" w:sz="8" w:color="auto"/>
            </w:tcBorders>
            <w:shd w:val="clear" w:color="auto" w:fill="E7E7E7"/>
          </w:tcPr>
          <w:p>
            <w:pPr>
              <w:spacing w:after="0"/>
              <w:rPr>
                <w:sz w:val="21"/>
                <w:szCs w:val="21"/>
                <w:color w:val="auto"/>
              </w:rPr>
            </w:pPr>
          </w:p>
        </w:tc>
        <w:tc>
          <w:tcPr>
            <w:tcW w:w="750" w:type="dxa"/>
            <w:vAlign w:val="bottom"/>
            <w:tcBorders>
              <w:bottom w:val="single" w:sz="8" w:color="auto"/>
            </w:tcBorders>
            <w:shd w:val="clear" w:color="auto" w:fill="E7E7E7"/>
          </w:tcPr>
          <w:p>
            <w:pPr>
              <w:ind w:left="55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bottom w:val="single" w:sz="8" w:color="auto"/>
            </w:tcBorders>
            <w:shd w:val="clear" w:color="auto" w:fill="E7E7E7"/>
          </w:tcPr>
          <w:p>
            <w:pPr>
              <w:spacing w:after="0"/>
              <w:rPr>
                <w:sz w:val="21"/>
                <w:szCs w:val="21"/>
                <w:color w:val="auto"/>
              </w:rPr>
            </w:pPr>
          </w:p>
        </w:tc>
        <w:tc>
          <w:tcPr>
            <w:tcW w:w="16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76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E7E7E7"/>
          </w:tcPr>
          <w:p>
            <w:pPr>
              <w:spacing w:after="0"/>
              <w:rPr>
                <w:sz w:val="21"/>
                <w:szCs w:val="21"/>
                <w:color w:val="auto"/>
              </w:rPr>
            </w:pPr>
          </w:p>
        </w:tc>
      </w:tr>
      <w:tr>
        <w:trPr>
          <w:trHeight w:val="236"/>
        </w:trPr>
        <w:tc>
          <w:tcPr>
            <w:tcW w:w="296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3,134</w:t>
            </w:r>
          </w:p>
        </w:tc>
        <w:tc>
          <w:tcPr>
            <w:tcW w:w="18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70" w:type="dxa"/>
            <w:vAlign w:val="bottom"/>
            <w:gridSpan w:val="2"/>
          </w:tcPr>
          <w:p>
            <w:pPr>
              <w:ind w:left="550"/>
              <w:spacing w:after="0"/>
              <w:rPr>
                <w:sz w:val="20"/>
                <w:szCs w:val="20"/>
                <w:color w:val="auto"/>
              </w:rPr>
            </w:pPr>
            <w:r>
              <w:rPr>
                <w:rFonts w:ascii="Times New Roman" w:cs="Times New Roman" w:eastAsia="Times New Roman" w:hAnsi="Times New Roman"/>
                <w:sz w:val="20"/>
                <w:szCs w:val="20"/>
                <w:color w:val="auto"/>
                <w:w w:val="99"/>
              </w:rPr>
              <w:t>—</w:t>
            </w:r>
          </w:p>
        </w:tc>
        <w:tc>
          <w:tcPr>
            <w:tcW w:w="18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3,134</w:t>
            </w:r>
          </w:p>
        </w:tc>
        <w:tc>
          <w:tcPr>
            <w:tcW w:w="80" w:type="dxa"/>
            <w:vAlign w:val="bottom"/>
          </w:tcPr>
          <w:p>
            <w:pPr>
              <w:spacing w:after="0"/>
              <w:rPr>
                <w:sz w:val="20"/>
                <w:szCs w:val="20"/>
                <w:color w:val="auto"/>
              </w:rPr>
            </w:pPr>
          </w:p>
        </w:tc>
      </w:tr>
      <w:tr>
        <w:trPr>
          <w:trHeight w:val="20"/>
        </w:trPr>
        <w:tc>
          <w:tcPr>
            <w:tcW w:w="2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2960" w:type="dxa"/>
            <w:vAlign w:val="bottom"/>
            <w:tcBorders>
              <w:bottom w:val="single" w:sz="8" w:color="E7E7E7"/>
            </w:tcBorders>
          </w:tcPr>
          <w:p>
            <w:pPr>
              <w:spacing w:after="0"/>
              <w:rPr>
                <w:sz w:val="16"/>
                <w:szCs w:val="16"/>
                <w:color w:val="auto"/>
              </w:rPr>
            </w:pPr>
          </w:p>
        </w:tc>
        <w:tc>
          <w:tcPr>
            <w:tcW w:w="1340" w:type="dxa"/>
            <w:vAlign w:val="bottom"/>
            <w:tcBorders>
              <w:bottom w:val="single" w:sz="8" w:color="E7E7E7"/>
            </w:tcBorders>
          </w:tcPr>
          <w:p>
            <w:pPr>
              <w:spacing w:after="0"/>
              <w:rPr>
                <w:sz w:val="16"/>
                <w:szCs w:val="16"/>
                <w:color w:val="auto"/>
              </w:rPr>
            </w:pPr>
          </w:p>
        </w:tc>
        <w:tc>
          <w:tcPr>
            <w:tcW w:w="20" w:type="dxa"/>
            <w:vAlign w:val="bottom"/>
            <w:tcBorders>
              <w:bottom w:val="single" w:sz="8" w:color="E7E7E7"/>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Borders>
              <w:bottom w:val="single" w:sz="8" w:color="E7E7E7"/>
            </w:tcBorders>
          </w:tcPr>
          <w:p>
            <w:pPr>
              <w:spacing w:after="0"/>
              <w:rPr>
                <w:sz w:val="16"/>
                <w:szCs w:val="16"/>
                <w:color w:val="auto"/>
              </w:rPr>
            </w:pPr>
          </w:p>
        </w:tc>
        <w:tc>
          <w:tcPr>
            <w:tcW w:w="20" w:type="dxa"/>
            <w:vAlign w:val="bottom"/>
            <w:tcBorders>
              <w:bottom w:val="single" w:sz="8" w:color="E7E7E7"/>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Borders>
              <w:bottom w:val="single" w:sz="8" w:color="E7E7E7"/>
            </w:tcBorders>
          </w:tcPr>
          <w:p>
            <w:pPr>
              <w:spacing w:after="0"/>
              <w:rPr>
                <w:sz w:val="16"/>
                <w:szCs w:val="16"/>
                <w:color w:val="auto"/>
              </w:rPr>
            </w:pPr>
          </w:p>
        </w:tc>
        <w:tc>
          <w:tcPr>
            <w:tcW w:w="20" w:type="dxa"/>
            <w:vAlign w:val="bottom"/>
            <w:tcBorders>
              <w:bottom w:val="single" w:sz="8" w:color="E7E7E7"/>
            </w:tcBorders>
          </w:tcPr>
          <w:p>
            <w:pPr>
              <w:spacing w:after="0"/>
              <w:rPr>
                <w:sz w:val="16"/>
                <w:szCs w:val="16"/>
                <w:color w:val="auto"/>
              </w:rPr>
            </w:pPr>
          </w:p>
        </w:tc>
        <w:tc>
          <w:tcPr>
            <w:tcW w:w="90" w:type="dxa"/>
            <w:vAlign w:val="bottom"/>
            <w:tcBorders>
              <w:bottom w:val="single" w:sz="8" w:color="auto"/>
            </w:tcBorders>
          </w:tcPr>
          <w:p>
            <w:pPr>
              <w:spacing w:after="0"/>
              <w:rPr>
                <w:sz w:val="16"/>
                <w:szCs w:val="16"/>
                <w:color w:val="auto"/>
              </w:rPr>
            </w:pPr>
          </w:p>
        </w:tc>
        <w:tc>
          <w:tcPr>
            <w:tcW w:w="750" w:type="dxa"/>
            <w:vAlign w:val="bottom"/>
            <w:tcBorders>
              <w:bottom w:val="single" w:sz="8" w:color="auto"/>
            </w:tcBorders>
          </w:tcPr>
          <w:p>
            <w:pPr>
              <w:ind w:left="7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E7E7E7"/>
            </w:tcBorders>
          </w:tcPr>
          <w:p>
            <w:pPr>
              <w:spacing w:after="0"/>
              <w:rPr>
                <w:sz w:val="16"/>
                <w:szCs w:val="16"/>
                <w:color w:val="auto"/>
              </w:rPr>
            </w:pPr>
          </w:p>
        </w:tc>
        <w:tc>
          <w:tcPr>
            <w:tcW w:w="20" w:type="dxa"/>
            <w:vAlign w:val="bottom"/>
            <w:tcBorders>
              <w:bottom w:val="single" w:sz="8" w:color="E7E7E7"/>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E7E7E7"/>
            </w:tcBorders>
          </w:tcPr>
          <w:p>
            <w:pPr>
              <w:spacing w:after="0"/>
              <w:rPr>
                <w:sz w:val="16"/>
                <w:szCs w:val="16"/>
                <w:color w:val="auto"/>
              </w:rPr>
            </w:pPr>
          </w:p>
        </w:tc>
      </w:tr>
      <w:tr>
        <w:trPr>
          <w:trHeight w:val="230"/>
        </w:trPr>
        <w:tc>
          <w:tcPr>
            <w:tcW w:w="296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134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20" w:type="dxa"/>
            <w:vAlign w:val="bottom"/>
            <w:shd w:val="clear" w:color="auto" w:fill="E7E7E7"/>
          </w:tcPr>
          <w:p>
            <w:pPr>
              <w:spacing w:after="0"/>
              <w:rPr>
                <w:sz w:val="20"/>
                <w:szCs w:val="20"/>
                <w:color w:val="auto"/>
              </w:rPr>
            </w:pPr>
          </w:p>
        </w:tc>
        <w:tc>
          <w:tcPr>
            <w:tcW w:w="760" w:type="dxa"/>
            <w:vAlign w:val="bottom"/>
            <w:shd w:val="clear" w:color="auto" w:fill="E7E7E7"/>
          </w:tcPr>
          <w:p>
            <w:pPr>
              <w:spacing w:after="0"/>
              <w:rPr>
                <w:sz w:val="20"/>
                <w:szCs w:val="20"/>
                <w:color w:val="auto"/>
              </w:rPr>
            </w:pPr>
          </w:p>
        </w:tc>
        <w:tc>
          <w:tcPr>
            <w:tcW w:w="16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spacing w:after="0"/>
              <w:rPr>
                <w:sz w:val="20"/>
                <w:szCs w:val="20"/>
                <w:color w:val="auto"/>
              </w:rPr>
            </w:pPr>
          </w:p>
        </w:tc>
        <w:tc>
          <w:tcPr>
            <w:tcW w:w="760" w:type="dxa"/>
            <w:vAlign w:val="bottom"/>
            <w:shd w:val="clear" w:color="auto" w:fill="E7E7E7"/>
          </w:tcPr>
          <w:p>
            <w:pPr>
              <w:spacing w:after="0"/>
              <w:rPr>
                <w:sz w:val="20"/>
                <w:szCs w:val="20"/>
                <w:color w:val="auto"/>
              </w:rPr>
            </w:pPr>
          </w:p>
        </w:tc>
        <w:tc>
          <w:tcPr>
            <w:tcW w:w="18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90" w:type="dxa"/>
            <w:vAlign w:val="bottom"/>
            <w:shd w:val="clear" w:color="auto" w:fill="E7E7E7"/>
          </w:tcPr>
          <w:p>
            <w:pPr>
              <w:spacing w:after="0"/>
              <w:rPr>
                <w:sz w:val="20"/>
                <w:szCs w:val="20"/>
                <w:color w:val="auto"/>
              </w:rPr>
            </w:pPr>
          </w:p>
        </w:tc>
        <w:tc>
          <w:tcPr>
            <w:tcW w:w="75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6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20" w:type="dxa"/>
            <w:vAlign w:val="bottom"/>
            <w:shd w:val="clear" w:color="auto" w:fill="E7E7E7"/>
          </w:tcPr>
          <w:p>
            <w:pPr>
              <w:spacing w:after="0"/>
              <w:rPr>
                <w:sz w:val="20"/>
                <w:szCs w:val="20"/>
                <w:color w:val="auto"/>
              </w:rPr>
            </w:pPr>
          </w:p>
        </w:tc>
        <w:tc>
          <w:tcPr>
            <w:tcW w:w="760" w:type="dxa"/>
            <w:vAlign w:val="bottom"/>
            <w:shd w:val="clear" w:color="auto" w:fill="E7E7E7"/>
          </w:tcPr>
          <w:p>
            <w:pPr>
              <w:spacing w:after="0"/>
              <w:rPr>
                <w:sz w:val="20"/>
                <w:szCs w:val="20"/>
                <w:color w:val="auto"/>
              </w:rPr>
            </w:pPr>
          </w:p>
        </w:tc>
        <w:tc>
          <w:tcPr>
            <w:tcW w:w="80" w:type="dxa"/>
            <w:vAlign w:val="bottom"/>
            <w:shd w:val="clear" w:color="auto" w:fill="E7E7E7"/>
          </w:tcPr>
          <w:p>
            <w:pPr>
              <w:spacing w:after="0"/>
              <w:rPr>
                <w:sz w:val="20"/>
                <w:szCs w:val="20"/>
                <w:color w:val="auto"/>
              </w:rPr>
            </w:pPr>
          </w:p>
        </w:tc>
      </w:tr>
      <w:tr>
        <w:trPr>
          <w:trHeight w:val="244"/>
        </w:trPr>
        <w:tc>
          <w:tcPr>
            <w:tcW w:w="2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89"/>
              </w:rPr>
              <w:t>—</w:t>
            </w:r>
          </w:p>
        </w:tc>
        <w:tc>
          <w:tcPr>
            <w:tcW w:w="29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50" w:type="dxa"/>
            <w:vAlign w:val="bottom"/>
          </w:tcPr>
          <w:p>
            <w:pPr>
              <w:ind w:left="550"/>
              <w:spacing w:after="0"/>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w:t>
            </w:r>
          </w:p>
        </w:tc>
        <w:tc>
          <w:tcPr>
            <w:tcW w:w="80" w:type="dxa"/>
            <w:vAlign w:val="bottom"/>
          </w:tcPr>
          <w:p>
            <w:pPr>
              <w:spacing w:after="0"/>
              <w:rPr>
                <w:sz w:val="21"/>
                <w:szCs w:val="21"/>
                <w:color w:val="auto"/>
              </w:rPr>
            </w:pPr>
          </w:p>
        </w:tc>
      </w:tr>
      <w:tr>
        <w:trPr>
          <w:trHeight w:val="265"/>
        </w:trPr>
        <w:tc>
          <w:tcPr>
            <w:tcW w:w="2960" w:type="dxa"/>
            <w:vAlign w:val="bottom"/>
            <w:tcBorders>
              <w:bottom w:val="single" w:sz="8" w:color="E7E7E7"/>
            </w:tcBorders>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Treasury bills</w:t>
            </w:r>
          </w:p>
        </w:tc>
        <w:tc>
          <w:tcPr>
            <w:tcW w:w="1340" w:type="dxa"/>
            <w:vAlign w:val="bottom"/>
            <w:tcBorders>
              <w:bottom w:val="single" w:sz="8" w:color="E7E7E7"/>
            </w:tcBorders>
            <w:shd w:val="clear" w:color="auto" w:fill="E7E7E7"/>
          </w:tcPr>
          <w:p>
            <w:pPr>
              <w:spacing w:after="0"/>
              <w:rPr>
                <w:sz w:val="23"/>
                <w:szCs w:val="23"/>
                <w:color w:val="auto"/>
              </w:rPr>
            </w:pPr>
          </w:p>
        </w:tc>
        <w:tc>
          <w:tcPr>
            <w:tcW w:w="20" w:type="dxa"/>
            <w:vAlign w:val="bottom"/>
            <w:tcBorders>
              <w:bottom w:val="single" w:sz="8" w:color="E7E7E7"/>
            </w:tcBorders>
            <w:shd w:val="clear" w:color="auto" w:fill="E7E7E7"/>
          </w:tcPr>
          <w:p>
            <w:pPr>
              <w:spacing w:after="0"/>
              <w:rPr>
                <w:sz w:val="23"/>
                <w:szCs w:val="23"/>
                <w:color w:val="auto"/>
              </w:rPr>
            </w:pPr>
          </w:p>
        </w:tc>
        <w:tc>
          <w:tcPr>
            <w:tcW w:w="120" w:type="dxa"/>
            <w:vAlign w:val="bottom"/>
            <w:tcBorders>
              <w:bottom w:val="single" w:sz="8" w:color="auto"/>
            </w:tcBorders>
            <w:shd w:val="clear" w:color="auto" w:fill="E7E7E7"/>
          </w:tcPr>
          <w:p>
            <w:pPr>
              <w:spacing w:after="0"/>
              <w:rPr>
                <w:sz w:val="23"/>
                <w:szCs w:val="23"/>
                <w:color w:val="auto"/>
              </w:rPr>
            </w:pPr>
          </w:p>
        </w:tc>
        <w:tc>
          <w:tcPr>
            <w:tcW w:w="76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8,341</w:t>
            </w:r>
          </w:p>
        </w:tc>
        <w:tc>
          <w:tcPr>
            <w:tcW w:w="160" w:type="dxa"/>
            <w:vAlign w:val="bottom"/>
            <w:tcBorders>
              <w:bottom w:val="single" w:sz="8" w:color="E7E7E7"/>
            </w:tcBorders>
            <w:shd w:val="clear" w:color="auto" w:fill="E7E7E7"/>
          </w:tcPr>
          <w:p>
            <w:pPr>
              <w:spacing w:after="0"/>
              <w:rPr>
                <w:sz w:val="23"/>
                <w:szCs w:val="23"/>
                <w:color w:val="auto"/>
              </w:rPr>
            </w:pPr>
          </w:p>
        </w:tc>
        <w:tc>
          <w:tcPr>
            <w:tcW w:w="20" w:type="dxa"/>
            <w:vAlign w:val="bottom"/>
            <w:tcBorders>
              <w:bottom w:val="single" w:sz="8" w:color="E7E7E7"/>
            </w:tcBorders>
            <w:shd w:val="clear" w:color="auto" w:fill="E7E7E7"/>
          </w:tcPr>
          <w:p>
            <w:pPr>
              <w:spacing w:after="0"/>
              <w:rPr>
                <w:sz w:val="23"/>
                <w:szCs w:val="23"/>
                <w:color w:val="auto"/>
              </w:rPr>
            </w:pPr>
          </w:p>
        </w:tc>
        <w:tc>
          <w:tcPr>
            <w:tcW w:w="100" w:type="dxa"/>
            <w:vAlign w:val="bottom"/>
            <w:tcBorders>
              <w:bottom w:val="single" w:sz="8" w:color="auto"/>
            </w:tcBorders>
            <w:shd w:val="clear" w:color="auto" w:fill="E7E7E7"/>
          </w:tcPr>
          <w:p>
            <w:pPr>
              <w:spacing w:after="0"/>
              <w:rPr>
                <w:sz w:val="23"/>
                <w:szCs w:val="23"/>
                <w:color w:val="auto"/>
              </w:rPr>
            </w:pPr>
          </w:p>
        </w:tc>
        <w:tc>
          <w:tcPr>
            <w:tcW w:w="760" w:type="dxa"/>
            <w:vAlign w:val="bottom"/>
            <w:tcBorders>
              <w:bottom w:val="single" w:sz="8" w:color="auto"/>
            </w:tcBorders>
            <w:shd w:val="clear" w:color="auto" w:fill="E7E7E7"/>
          </w:tcPr>
          <w:p>
            <w:pPr>
              <w:ind w:left="5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Borders>
              <w:bottom w:val="single" w:sz="8" w:color="E7E7E7"/>
            </w:tcBorders>
            <w:shd w:val="clear" w:color="auto" w:fill="E7E7E7"/>
          </w:tcPr>
          <w:p>
            <w:pPr>
              <w:spacing w:after="0"/>
              <w:rPr>
                <w:sz w:val="23"/>
                <w:szCs w:val="23"/>
                <w:color w:val="auto"/>
              </w:rPr>
            </w:pPr>
          </w:p>
        </w:tc>
        <w:tc>
          <w:tcPr>
            <w:tcW w:w="20" w:type="dxa"/>
            <w:vAlign w:val="bottom"/>
            <w:tcBorders>
              <w:bottom w:val="single" w:sz="8" w:color="E7E7E7"/>
            </w:tcBorders>
            <w:shd w:val="clear" w:color="auto" w:fill="E7E7E7"/>
          </w:tcPr>
          <w:p>
            <w:pPr>
              <w:spacing w:after="0"/>
              <w:rPr>
                <w:sz w:val="23"/>
                <w:szCs w:val="23"/>
                <w:color w:val="auto"/>
              </w:rPr>
            </w:pPr>
          </w:p>
        </w:tc>
        <w:tc>
          <w:tcPr>
            <w:tcW w:w="90" w:type="dxa"/>
            <w:vAlign w:val="bottom"/>
            <w:tcBorders>
              <w:bottom w:val="single" w:sz="8" w:color="auto"/>
            </w:tcBorders>
            <w:shd w:val="clear" w:color="auto" w:fill="E7E7E7"/>
          </w:tcPr>
          <w:p>
            <w:pPr>
              <w:spacing w:after="0"/>
              <w:rPr>
                <w:sz w:val="23"/>
                <w:szCs w:val="23"/>
                <w:color w:val="auto"/>
              </w:rPr>
            </w:pPr>
          </w:p>
        </w:tc>
        <w:tc>
          <w:tcPr>
            <w:tcW w:w="750" w:type="dxa"/>
            <w:vAlign w:val="bottom"/>
            <w:tcBorders>
              <w:bottom w:val="single" w:sz="8" w:color="auto"/>
            </w:tcBorders>
            <w:shd w:val="clear" w:color="auto" w:fill="E7E7E7"/>
          </w:tcPr>
          <w:p>
            <w:pPr>
              <w:ind w:left="55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bottom w:val="single" w:sz="8" w:color="auto"/>
            </w:tcBorders>
            <w:shd w:val="clear" w:color="auto" w:fill="E7E7E7"/>
          </w:tcPr>
          <w:p>
            <w:pPr>
              <w:spacing w:after="0"/>
              <w:rPr>
                <w:sz w:val="23"/>
                <w:szCs w:val="23"/>
                <w:color w:val="auto"/>
              </w:rPr>
            </w:pPr>
          </w:p>
        </w:tc>
        <w:tc>
          <w:tcPr>
            <w:tcW w:w="160" w:type="dxa"/>
            <w:vAlign w:val="bottom"/>
            <w:tcBorders>
              <w:bottom w:val="single" w:sz="8" w:color="E7E7E7"/>
            </w:tcBorders>
            <w:shd w:val="clear" w:color="auto" w:fill="E7E7E7"/>
          </w:tcPr>
          <w:p>
            <w:pPr>
              <w:spacing w:after="0"/>
              <w:rPr>
                <w:sz w:val="23"/>
                <w:szCs w:val="23"/>
                <w:color w:val="auto"/>
              </w:rPr>
            </w:pPr>
          </w:p>
        </w:tc>
        <w:tc>
          <w:tcPr>
            <w:tcW w:w="20" w:type="dxa"/>
            <w:vAlign w:val="bottom"/>
            <w:tcBorders>
              <w:bottom w:val="single" w:sz="8" w:color="E7E7E7"/>
            </w:tcBorders>
            <w:shd w:val="clear" w:color="auto" w:fill="E7E7E7"/>
          </w:tcPr>
          <w:p>
            <w:pPr>
              <w:spacing w:after="0"/>
              <w:rPr>
                <w:sz w:val="23"/>
                <w:szCs w:val="23"/>
                <w:color w:val="auto"/>
              </w:rPr>
            </w:pPr>
          </w:p>
        </w:tc>
        <w:tc>
          <w:tcPr>
            <w:tcW w:w="120" w:type="dxa"/>
            <w:vAlign w:val="bottom"/>
            <w:tcBorders>
              <w:bottom w:val="single" w:sz="8" w:color="auto"/>
            </w:tcBorders>
            <w:shd w:val="clear" w:color="auto" w:fill="E7E7E7"/>
          </w:tcPr>
          <w:p>
            <w:pPr>
              <w:spacing w:after="0"/>
              <w:rPr>
                <w:sz w:val="23"/>
                <w:szCs w:val="23"/>
                <w:color w:val="auto"/>
              </w:rPr>
            </w:pPr>
          </w:p>
        </w:tc>
        <w:tc>
          <w:tcPr>
            <w:tcW w:w="76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8,341</w:t>
            </w:r>
          </w:p>
        </w:tc>
        <w:tc>
          <w:tcPr>
            <w:tcW w:w="80" w:type="dxa"/>
            <w:vAlign w:val="bottom"/>
            <w:tcBorders>
              <w:bottom w:val="single" w:sz="8" w:color="E7E7E7"/>
            </w:tcBorders>
            <w:shd w:val="clear" w:color="auto" w:fill="E7E7E7"/>
          </w:tcPr>
          <w:p>
            <w:pPr>
              <w:spacing w:after="0"/>
              <w:rPr>
                <w:sz w:val="23"/>
                <w:szCs w:val="23"/>
                <w:color w:val="auto"/>
              </w:rPr>
            </w:pPr>
          </w:p>
        </w:tc>
      </w:tr>
      <w:tr>
        <w:trPr>
          <w:trHeight w:val="216"/>
        </w:trPr>
        <w:tc>
          <w:tcPr>
            <w:tcW w:w="29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10,880</w:t>
            </w:r>
          </w:p>
        </w:tc>
        <w:tc>
          <w:tcPr>
            <w:tcW w:w="180" w:type="dxa"/>
            <w:vAlign w:val="bottom"/>
            <w:gridSpan w:val="2"/>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ind w:left="560"/>
              <w:spacing w:after="0" w:line="215"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gridSpan w:val="2"/>
          </w:tcPr>
          <w:p>
            <w:pPr>
              <w:spacing w:after="0"/>
              <w:rPr>
                <w:sz w:val="18"/>
                <w:szCs w:val="18"/>
                <w:color w:val="auto"/>
              </w:rPr>
            </w:pPr>
          </w:p>
        </w:tc>
        <w:tc>
          <w:tcPr>
            <w:tcW w:w="9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70" w:type="dxa"/>
            <w:vAlign w:val="bottom"/>
            <w:gridSpan w:val="2"/>
          </w:tcPr>
          <w:p>
            <w:pPr>
              <w:ind w:left="550"/>
              <w:spacing w:after="0" w:line="215" w:lineRule="exact"/>
              <w:rPr>
                <w:sz w:val="20"/>
                <w:szCs w:val="20"/>
                <w:color w:val="auto"/>
              </w:rPr>
            </w:pPr>
            <w:r>
              <w:rPr>
                <w:rFonts w:ascii="Times New Roman" w:cs="Times New Roman" w:eastAsia="Times New Roman" w:hAnsi="Times New Roman"/>
                <w:sz w:val="20"/>
                <w:szCs w:val="20"/>
                <w:color w:val="auto"/>
                <w:w w:val="99"/>
              </w:rPr>
              <w:t>—</w:t>
            </w:r>
          </w:p>
        </w:tc>
        <w:tc>
          <w:tcPr>
            <w:tcW w:w="180" w:type="dxa"/>
            <w:vAlign w:val="bottom"/>
            <w:gridSpan w:val="2"/>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10,880</w:t>
            </w:r>
          </w:p>
        </w:tc>
        <w:tc>
          <w:tcPr>
            <w:tcW w:w="80" w:type="dxa"/>
            <w:vAlign w:val="bottom"/>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17"/>
        </w:trPr>
        <w:tc>
          <w:tcPr>
            <w:tcW w:w="296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F-19</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297180</wp:posOffset>
                </wp:positionH>
                <wp:positionV relativeFrom="paragraph">
                  <wp:posOffset>-2152650</wp:posOffset>
                </wp:positionV>
                <wp:extent cx="53492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92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pt,-169.4999pt" to="444.6pt,-169.4999pt" o:allowincell="f" strokecolor="#FFFFFF" strokeweight="0.72pt"/>
            </w:pict>
          </mc:Fallback>
        </mc:AlternateContent>
      </w:r>
    </w:p>
    <w:p>
      <w:pPr>
        <w:sectPr>
          <w:pgSz w:w="12240" w:h="15840" w:orient="portrait"/>
          <w:cols w:equalWidth="0" w:num="1">
            <w:col w:w="9360"/>
          </w:cols>
          <w:pgMar w:left="1440" w:top="1418" w:right="1440" w:bottom="139" w:gutter="0" w:footer="0" w:header="0"/>
        </w:sectPr>
      </w:pPr>
    </w:p>
    <w:bookmarkStart w:id="127" w:name="page128"/>
    <w:bookmarkEnd w:id="127"/>
    <w:p>
      <w:pPr>
        <w:ind w:left="480"/>
        <w:spacing w:after="0"/>
        <w:rPr>
          <w:sz w:val="20"/>
          <w:szCs w:val="20"/>
          <w:color w:val="auto"/>
        </w:rPr>
      </w:pPr>
      <w:r>
        <w:rPr>
          <w:rFonts w:ascii="Times New Roman" w:cs="Times New Roman" w:eastAsia="Times New Roman" w:hAnsi="Times New Roman"/>
          <w:sz w:val="20"/>
          <w:szCs w:val="20"/>
          <w:color w:val="auto"/>
        </w:rPr>
        <w:t>During the years ended December 31, 2025 and 2024, there were no transfers between levels.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Prepaid Expenses and Other Current Assets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Prepaid expenses and other current assets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380" w:type="dxa"/>
            <w:vAlign w:val="bottom"/>
            <w:tcBorders>
              <w:bottom w:val="single" w:sz="8" w:color="E7E7E7"/>
            </w:tcBorders>
          </w:tcPr>
          <w:p>
            <w:pPr>
              <w:spacing w:after="0"/>
              <w:rPr>
                <w:sz w:val="17"/>
                <w:szCs w:val="17"/>
                <w:color w:val="auto"/>
              </w:rPr>
            </w:pPr>
          </w:p>
        </w:tc>
        <w:tc>
          <w:tcPr>
            <w:tcW w:w="20" w:type="dxa"/>
            <w:vAlign w:val="bottom"/>
            <w:tcBorders>
              <w:bottom w:val="single" w:sz="8" w:color="E7E7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7E7E7"/>
            </w:tcBorders>
          </w:tcPr>
          <w:p>
            <w:pPr>
              <w:spacing w:after="0"/>
              <w:rPr>
                <w:sz w:val="17"/>
                <w:szCs w:val="17"/>
                <w:color w:val="auto"/>
              </w:rPr>
            </w:pPr>
          </w:p>
        </w:tc>
        <w:tc>
          <w:tcPr>
            <w:tcW w:w="20" w:type="dxa"/>
            <w:vAlign w:val="bottom"/>
            <w:tcBorders>
              <w:bottom w:val="single" w:sz="8" w:color="E7E7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7E7E7"/>
            </w:tcBorders>
          </w:tcPr>
          <w:p>
            <w:pPr>
              <w:spacing w:after="0"/>
              <w:rPr>
                <w:sz w:val="17"/>
                <w:szCs w:val="17"/>
                <w:color w:val="auto"/>
              </w:rPr>
            </w:pPr>
          </w:p>
        </w:tc>
      </w:tr>
      <w:tr>
        <w:trPr>
          <w:trHeight w:val="233"/>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Prepaid research and development</w:t>
            </w: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22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80" w:type="dxa"/>
            <w:vAlign w:val="bottom"/>
            <w:shd w:val="clear" w:color="auto" w:fill="E7E7E7"/>
          </w:tcPr>
          <w:p>
            <w:pPr>
              <w:spacing w:after="0"/>
              <w:rPr>
                <w:sz w:val="20"/>
                <w:szCs w:val="20"/>
                <w:color w:val="auto"/>
              </w:rPr>
            </w:pPr>
          </w:p>
        </w:tc>
      </w:tr>
      <w:tr>
        <w:trPr>
          <w:trHeight w:val="245"/>
        </w:trPr>
        <w:tc>
          <w:tcPr>
            <w:tcW w:w="638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w:t>
            </w:r>
          </w:p>
        </w:tc>
        <w:tc>
          <w:tcPr>
            <w:tcW w:w="22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80" w:type="dxa"/>
            <w:vAlign w:val="bottom"/>
            <w:tcBorders>
              <w:bottom w:val="single" w:sz="8" w:color="E7E7E7"/>
            </w:tcBorders>
          </w:tcPr>
          <w:p>
            <w:pPr>
              <w:spacing w:after="0"/>
              <w:rPr>
                <w:sz w:val="21"/>
                <w:szCs w:val="21"/>
                <w:color w:val="auto"/>
              </w:rPr>
            </w:pPr>
          </w:p>
        </w:tc>
      </w:tr>
      <w:tr>
        <w:trPr>
          <w:trHeight w:val="234"/>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20" w:type="dxa"/>
            <w:vAlign w:val="bottom"/>
            <w:tcBorders>
              <w:bottom w:val="single" w:sz="8" w:color="auto"/>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220" w:type="dxa"/>
            <w:vAlign w:val="bottom"/>
            <w:shd w:val="clear" w:color="auto" w:fill="E7E7E7"/>
          </w:tcPr>
          <w:p>
            <w:pPr>
              <w:spacing w:after="0"/>
              <w:rPr>
                <w:sz w:val="20"/>
                <w:szCs w:val="20"/>
                <w:color w:val="auto"/>
              </w:rPr>
            </w:pPr>
          </w:p>
        </w:tc>
        <w:tc>
          <w:tcPr>
            <w:tcW w:w="20" w:type="dxa"/>
            <w:vAlign w:val="bottom"/>
            <w:tcBorders>
              <w:bottom w:val="single" w:sz="8" w:color="auto"/>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80" w:type="dxa"/>
            <w:vAlign w:val="bottom"/>
            <w:shd w:val="clear" w:color="auto" w:fill="E7E7E7"/>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Goodwill and Indefinite-Lived Intangible Assets</w:t>
      </w:r>
    </w:p>
    <w:p>
      <w:pPr>
        <w:spacing w:after="0" w:line="122"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Indefinite-lived intangible assets and goodwill are tested for impairment at least annually. The assessment of recoverability and impairment was performed at the individual indefinite-lived intangible asset level. The Company incurred impairment loss on indefinite-lived intangible assets of $28,700 and $37,000 for the years ended December 31, 2025 and 2024, respectively, in connection with funding constraints that are causing the delay in further clinical development of LTI-01 and other preclinical programs until additional funds are raised. In the fourth quarter of 2025, the Company decided to pause development activities related to LTI-01 for an indefinite period and focus on the development of LTI-03. The timing and likelihood of resuming development of LTI-01 are uncertain and contingent on the Company's ability to obtain additional financing and the future success of LTI-03. Therefore, the Company wrote off the total carrying value of the LTI- 01 asset and other preclinical programs as of December 31, 2025, which resulted in an impairment loss of $28,700 for the year ended December 31, 2025. This impairment charge is classified within impairment loss on intangible assets in the consolidated statements of operations and comprehensive loss. The fair value of intangible assets was determined using multi-period excess earning method and using Level 3 inputs, which included estimates of forecasted cash flows for each candidate. There was no impairment loss recognized for the LTI-03 asset during the year ended December 31, 2025.</w:t>
      </w:r>
    </w:p>
    <w:p>
      <w:pPr>
        <w:spacing w:after="0" w:line="11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Company performed an impairment assessment of its goodwill, both qualitatively and quantitatively, and concluded that the fair value of goodwill exceeds its carrying value, therefore no goodwill impairment was recognized as of December 31, 2025. The fair value of reporting unit was determined using the income approach with a reconciliation to market capitalization.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Goodwill and indefinite-lived intangible assets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380" w:type="dxa"/>
            <w:vAlign w:val="bottom"/>
            <w:tcBorders>
              <w:bottom w:val="single" w:sz="8" w:color="E7E7E7"/>
            </w:tcBorders>
          </w:tcPr>
          <w:p>
            <w:pPr>
              <w:spacing w:after="0"/>
              <w:rPr>
                <w:sz w:val="17"/>
                <w:szCs w:val="17"/>
                <w:color w:val="auto"/>
              </w:rPr>
            </w:pPr>
          </w:p>
        </w:tc>
        <w:tc>
          <w:tcPr>
            <w:tcW w:w="20" w:type="dxa"/>
            <w:vAlign w:val="bottom"/>
            <w:tcBorders>
              <w:bottom w:val="single" w:sz="8" w:color="E7E7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7E7E7"/>
            </w:tcBorders>
          </w:tcPr>
          <w:p>
            <w:pPr>
              <w:spacing w:after="0"/>
              <w:rPr>
                <w:sz w:val="17"/>
                <w:szCs w:val="17"/>
                <w:color w:val="auto"/>
              </w:rPr>
            </w:pPr>
          </w:p>
        </w:tc>
        <w:tc>
          <w:tcPr>
            <w:tcW w:w="20" w:type="dxa"/>
            <w:vAlign w:val="bottom"/>
            <w:tcBorders>
              <w:bottom w:val="single" w:sz="8" w:color="E7E7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7E7E7"/>
            </w:tcBorders>
          </w:tcPr>
          <w:p>
            <w:pPr>
              <w:spacing w:after="0"/>
              <w:rPr>
                <w:sz w:val="17"/>
                <w:szCs w:val="17"/>
                <w:color w:val="auto"/>
              </w:rPr>
            </w:pPr>
          </w:p>
        </w:tc>
      </w:tr>
      <w:tr>
        <w:trPr>
          <w:trHeight w:val="233"/>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Goodwill</w:t>
            </w: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6,330</w:t>
            </w:r>
          </w:p>
        </w:tc>
        <w:tc>
          <w:tcPr>
            <w:tcW w:w="22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6,330</w:t>
            </w:r>
          </w:p>
        </w:tc>
        <w:tc>
          <w:tcPr>
            <w:tcW w:w="80" w:type="dxa"/>
            <w:vAlign w:val="bottom"/>
            <w:shd w:val="clear" w:color="auto" w:fill="E7E7E7"/>
          </w:tcPr>
          <w:p>
            <w:pPr>
              <w:spacing w:after="0"/>
              <w:rPr>
                <w:sz w:val="20"/>
                <w:szCs w:val="20"/>
                <w:color w:val="auto"/>
              </w:rPr>
            </w:pPr>
          </w:p>
        </w:tc>
      </w:tr>
      <w:tr>
        <w:trPr>
          <w:trHeight w:val="245"/>
        </w:trPr>
        <w:tc>
          <w:tcPr>
            <w:tcW w:w="638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Indefinite-lived intangible assets</w:t>
            </w: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13,500</w:t>
            </w:r>
          </w:p>
        </w:tc>
        <w:tc>
          <w:tcPr>
            <w:tcW w:w="22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42,200</w:t>
            </w:r>
          </w:p>
        </w:tc>
        <w:tc>
          <w:tcPr>
            <w:tcW w:w="80" w:type="dxa"/>
            <w:vAlign w:val="bottom"/>
            <w:tcBorders>
              <w:bottom w:val="single" w:sz="8" w:color="E7E7E7"/>
            </w:tcBorders>
          </w:tcPr>
          <w:p>
            <w:pPr>
              <w:spacing w:after="0"/>
              <w:rPr>
                <w:sz w:val="21"/>
                <w:szCs w:val="21"/>
                <w:color w:val="auto"/>
              </w:rPr>
            </w:pPr>
          </w:p>
        </w:tc>
      </w:tr>
      <w:tr>
        <w:trPr>
          <w:trHeight w:val="234"/>
        </w:trPr>
        <w:tc>
          <w:tcPr>
            <w:tcW w:w="6380" w:type="dxa"/>
            <w:vAlign w:val="bottom"/>
            <w:shd w:val="clear" w:color="auto" w:fill="E7E7E7"/>
          </w:tcPr>
          <w:p>
            <w:pPr>
              <w:spacing w:after="0"/>
              <w:rPr>
                <w:sz w:val="20"/>
                <w:szCs w:val="20"/>
                <w:color w:val="auto"/>
              </w:rPr>
            </w:pPr>
          </w:p>
        </w:tc>
        <w:tc>
          <w:tcPr>
            <w:tcW w:w="20" w:type="dxa"/>
            <w:vAlign w:val="bottom"/>
            <w:tcBorders>
              <w:bottom w:val="single" w:sz="8" w:color="auto"/>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19,830</w:t>
            </w:r>
          </w:p>
        </w:tc>
        <w:tc>
          <w:tcPr>
            <w:tcW w:w="220" w:type="dxa"/>
            <w:vAlign w:val="bottom"/>
            <w:shd w:val="clear" w:color="auto" w:fill="E7E7E7"/>
          </w:tcPr>
          <w:p>
            <w:pPr>
              <w:spacing w:after="0"/>
              <w:rPr>
                <w:sz w:val="20"/>
                <w:szCs w:val="20"/>
                <w:color w:val="auto"/>
              </w:rPr>
            </w:pPr>
          </w:p>
        </w:tc>
        <w:tc>
          <w:tcPr>
            <w:tcW w:w="20" w:type="dxa"/>
            <w:vAlign w:val="bottom"/>
            <w:tcBorders>
              <w:bottom w:val="single" w:sz="8" w:color="auto"/>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48,530</w:t>
            </w:r>
          </w:p>
        </w:tc>
        <w:tc>
          <w:tcPr>
            <w:tcW w:w="80" w:type="dxa"/>
            <w:vAlign w:val="bottom"/>
            <w:shd w:val="clear" w:color="auto" w:fill="E7E7E7"/>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Accrued Expenses and Other Current Liabilities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2"/>
        </w:trPr>
        <w:tc>
          <w:tcPr>
            <w:tcW w:w="6380" w:type="dxa"/>
            <w:vAlign w:val="bottom"/>
            <w:tcBorders>
              <w:bottom w:val="single" w:sz="8" w:color="E7E7E7"/>
            </w:tcBorders>
          </w:tcPr>
          <w:p>
            <w:pPr>
              <w:spacing w:after="0"/>
              <w:rPr>
                <w:sz w:val="17"/>
                <w:szCs w:val="17"/>
                <w:color w:val="auto"/>
              </w:rPr>
            </w:pPr>
          </w:p>
        </w:tc>
        <w:tc>
          <w:tcPr>
            <w:tcW w:w="20" w:type="dxa"/>
            <w:vAlign w:val="bottom"/>
            <w:tcBorders>
              <w:bottom w:val="single" w:sz="8" w:color="E7E7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7E7E7"/>
            </w:tcBorders>
          </w:tcPr>
          <w:p>
            <w:pPr>
              <w:spacing w:after="0"/>
              <w:rPr>
                <w:sz w:val="17"/>
                <w:szCs w:val="17"/>
                <w:color w:val="auto"/>
              </w:rPr>
            </w:pPr>
          </w:p>
        </w:tc>
        <w:tc>
          <w:tcPr>
            <w:tcW w:w="20" w:type="dxa"/>
            <w:vAlign w:val="bottom"/>
            <w:tcBorders>
              <w:bottom w:val="single" w:sz="8" w:color="E7E7E7"/>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7E7E7"/>
            </w:tcBorders>
          </w:tcPr>
          <w:p>
            <w:pPr>
              <w:spacing w:after="0"/>
              <w:rPr>
                <w:sz w:val="17"/>
                <w:szCs w:val="17"/>
                <w:color w:val="auto"/>
              </w:rPr>
            </w:pPr>
          </w:p>
        </w:tc>
      </w:tr>
      <w:tr>
        <w:trPr>
          <w:trHeight w:val="234"/>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External research and development services</w:t>
            </w: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22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80" w:type="dxa"/>
            <w:vAlign w:val="bottom"/>
            <w:shd w:val="clear" w:color="auto" w:fill="E7E7E7"/>
          </w:tcPr>
          <w:p>
            <w:pPr>
              <w:spacing w:after="0"/>
              <w:rPr>
                <w:sz w:val="20"/>
                <w:szCs w:val="20"/>
                <w:color w:val="auto"/>
              </w:rPr>
            </w:pPr>
          </w:p>
        </w:tc>
      </w:tr>
      <w:tr>
        <w:trPr>
          <w:trHeight w:val="244"/>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Payroll and payroll-related costs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w:t>
            </w:r>
          </w:p>
        </w:tc>
        <w:tc>
          <w:tcPr>
            <w:tcW w:w="80" w:type="dxa"/>
            <w:vAlign w:val="bottom"/>
          </w:tcPr>
          <w:p>
            <w:pPr>
              <w:spacing w:after="0"/>
              <w:rPr>
                <w:sz w:val="21"/>
                <w:szCs w:val="21"/>
                <w:color w:val="auto"/>
              </w:rPr>
            </w:pPr>
          </w:p>
        </w:tc>
      </w:tr>
      <w:tr>
        <w:trPr>
          <w:trHeight w:val="244"/>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22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12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80" w:type="dxa"/>
            <w:vAlign w:val="bottom"/>
            <w:shd w:val="clear" w:color="auto" w:fill="E7E7E7"/>
          </w:tcPr>
          <w:p>
            <w:pPr>
              <w:spacing w:after="0"/>
              <w:rPr>
                <w:sz w:val="21"/>
                <w:szCs w:val="21"/>
                <w:color w:val="auto"/>
              </w:rPr>
            </w:pPr>
          </w:p>
        </w:tc>
      </w:tr>
      <w:tr>
        <w:trPr>
          <w:trHeight w:val="245"/>
        </w:trPr>
        <w:tc>
          <w:tcPr>
            <w:tcW w:w="638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2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Borders>
              <w:bottom w:val="single" w:sz="8" w:color="E7E7E7"/>
            </w:tcBorders>
          </w:tcPr>
          <w:p>
            <w:pPr>
              <w:spacing w:after="0"/>
              <w:rPr>
                <w:sz w:val="21"/>
                <w:szCs w:val="21"/>
                <w:color w:val="auto"/>
              </w:rPr>
            </w:pPr>
          </w:p>
        </w:tc>
      </w:tr>
      <w:tr>
        <w:trPr>
          <w:trHeight w:val="235"/>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20" w:type="dxa"/>
            <w:vAlign w:val="bottom"/>
            <w:tcBorders>
              <w:bottom w:val="single" w:sz="8" w:color="auto"/>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2,204</w:t>
            </w:r>
          </w:p>
        </w:tc>
        <w:tc>
          <w:tcPr>
            <w:tcW w:w="220" w:type="dxa"/>
            <w:vAlign w:val="bottom"/>
            <w:shd w:val="clear" w:color="auto" w:fill="E7E7E7"/>
          </w:tcPr>
          <w:p>
            <w:pPr>
              <w:spacing w:after="0"/>
              <w:rPr>
                <w:sz w:val="20"/>
                <w:szCs w:val="20"/>
                <w:color w:val="auto"/>
              </w:rPr>
            </w:pPr>
          </w:p>
        </w:tc>
        <w:tc>
          <w:tcPr>
            <w:tcW w:w="20" w:type="dxa"/>
            <w:vAlign w:val="bottom"/>
            <w:tcBorders>
              <w:bottom w:val="single" w:sz="8" w:color="auto"/>
            </w:tcBorders>
            <w:shd w:val="clear" w:color="auto" w:fill="E7E7E7"/>
          </w:tcPr>
          <w:p>
            <w:pPr>
              <w:spacing w:after="0"/>
              <w:rPr>
                <w:sz w:val="20"/>
                <w:szCs w:val="20"/>
                <w:color w:val="auto"/>
              </w:rPr>
            </w:pPr>
          </w:p>
        </w:tc>
        <w:tc>
          <w:tcPr>
            <w:tcW w:w="1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4,838</w:t>
            </w:r>
          </w:p>
        </w:tc>
        <w:tc>
          <w:tcPr>
            <w:tcW w:w="80" w:type="dxa"/>
            <w:vAlign w:val="bottom"/>
            <w:shd w:val="clear" w:color="auto" w:fill="E7E7E7"/>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F-20</w:t>
      </w:r>
    </w:p>
    <w:p>
      <w:pPr>
        <w:sectPr>
          <w:pgSz w:w="12240" w:h="15840" w:orient="portrait"/>
          <w:cols w:equalWidth="0" w:num="1">
            <w:col w:w="9360"/>
          </w:cols>
          <w:pgMar w:left="1440" w:top="1418" w:right="1440" w:bottom="177"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7. Preferred Stock</w:t>
      </w:r>
    </w:p>
    <w:p>
      <w:pPr>
        <w:spacing w:after="0" w:line="121"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The Company is authorized to issue 5,000,000 shares of preferred stock, par value $0.001 per share. As of December 31, 2025 and December 31, 2024, the Company had issued 24,610 shares of Series X Preferred Stock, of which 12,232 shares of Series X Preferred Stock remained outstanding</w:t>
      </w:r>
    </w:p>
    <w:p>
      <w:pPr>
        <w:spacing w:after="0" w:line="103"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At the 2023 annual meeting of stockholders, or the 2023Annual Meeting, the Company’s stockholders approved the issuance, in accordance with Nasdaq Listing Rule 5635(a), of shares of common stock, upon conversion of the Company’s outstanding Series X Preferred Stock. On March 5, 2024, based upon then existing beneficial ownership limitations, 11,957 shares of Series X Preferred Stock were automatically converted into 11,957,000 shares of common stock. On May 8, 2024, the Bios Entities (as defined below) provided notice to the Company and converted 421 shares of Series X Preferred Stock held by them into 421,000 shares of common stock. As of December 31, 2025 and December 31, 2024, 12,232 shares of Series X Preferred Stock (which are convertible into 12,232,000 shares of common stock) remained convertible at the option of the holder thereof, subject to certain beneficial ownership limitations (as described below).</w:t>
      </w:r>
    </w:p>
    <w:p>
      <w:pPr>
        <w:spacing w:after="0" w:line="125"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The Company evaluated the Series X Preferred Stock for liability classification in accordance with the provisions of ASC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or ASC 480, and determined that equity treatment was appropriate because the Series X Preferred Stock did not meet the definition of the liability instruments. Specifically, the Series X Preferred Stock is not mandatorily redeemable and does not embody an obligation to buy back the shares outside of the Company’s control in a manner that could require the transfer of assets. The Company determined that the Series X Preferred Stock would be recorded as temporary equity, based on the guidance of ASC 480, given that it is contingently redeemable.</w:t>
      </w:r>
    </w:p>
    <w:p>
      <w:pPr>
        <w:spacing w:after="0" w:line="12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Each share of Series X Preferred Stock is convertible into 1,000 shares of Common Stock. The preferences, rights, and limitations initially applicable to the Series X Preferred Stock are set forth in the Certificate of Designation of Series X Non-Voting Convertible Preferred Stock, or the Certificate of Designation.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Series X Preferred Stock has the following characteristics: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w:t>
      </w:r>
    </w:p>
    <w:p>
      <w:pPr>
        <w:spacing w:after="0" w:line="15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Except as otherwise required by law, the Series X Preferred Stock does not have voting rights. However, as long as any shares of Series X Preferred Stock are outstanding, the Company will not, without the affirmative vote of the holders of a majority of the then outstanding shares of the Series X Preferred Stock, (i) alter or change adversely the powers, preferences or rights given to the Series X Preferred Stock or alter or amend the Certificate of Designation, amend or repeal any provision of, or add any provision to, the Certificate of Incorporation or by-laws of the Company,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X Preferred Stock, (ii) issue further shares of Series X Preferred Stock or increase or decrease (other than by conversion) the number of authorized shares of Series X Preferred Stock, or (iii) enter into any agreement with respect to any of the foregoing.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57"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Holders of Series X Preferred Stock are entitled to receive dividends on shares of Series X Preferred Stock equal, on an as- if-converted-to- common-stock basis, and in the same form as dividends actually paid on shares of the common stock. Such dividends are not cumulative. Since the Company’s inception, no dividends have been declared or paid.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 dissolution or winding up</w:t>
      </w:r>
    </w:p>
    <w:p>
      <w:pPr>
        <w:spacing w:after="0" w:line="158"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Series X Preferred Stock does not have a preference upon any liquidation, dissolution or winding-up of the Company.</w:t>
      </w:r>
    </w:p>
    <w:p>
      <w:pPr>
        <w:spacing w:after="0" w:line="83"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Upon liquidation, dissolution or winding up of the Company, the Series X preferred stockholders shall be entitled to receive an equivalent amount of distributions as would be paid on the common stock underlying the Series X Preferred Stock, determined on an as-converted basis, pari passu with any distributions to the common stock shareholders.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F-21</w:t>
      </w:r>
    </w:p>
    <w:p>
      <w:pPr>
        <w:sectPr>
          <w:pgSz w:w="12240" w:h="15840" w:orient="portrait"/>
          <w:cols w:equalWidth="0" w:num="1">
            <w:col w:w="9360"/>
          </w:cols>
          <w:pgMar w:left="1440" w:top="1416" w:right="1440" w:bottom="177"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w:t>
      </w:r>
    </w:p>
    <w:p>
      <w:pPr>
        <w:spacing w:after="0" w:line="15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Series X Preferred Stock is convertible into common stock at a rate of 1,000 shares of common stock for every one share of Series X Preferred Stock that is converted. The Series X Preferred Stock is subject to certain beneficial ownership limitations, including that a holder of Series X Preferred Stock is prohibited from converting shares of Series X Preferred Stock into shares of common stock if, as a result of such conversion, such holder (together with its affiliates and any other persons acting as a group together with the holder or any of its affiliates) would beneficially own more than a specified percentage (to be initially set at 19.99% and thereafter adjusted by the holder to a number not to exceed 19.99%) of the total number of shares of common stock issued and outstanding immediately after giving effect to such conversion.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Shares of the Series X Preferred Stock are not redeemable at the election of the holder.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Maturity</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Series X Preferred Stock shall be perpetual unless converted.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Common Stock</w:t>
      </w:r>
    </w:p>
    <w:p>
      <w:pPr>
        <w:spacing w:after="0" w:line="122"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As of December 31, 2025 and December 31, 2024, the Company was authorized to issue 100,000,000 shares of common stock, par value $0.001 per share.</w:t>
      </w:r>
    </w:p>
    <w:p>
      <w:pPr>
        <w:spacing w:after="0" w:line="83"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As of December 31, 2025 and December 31, 2024, the Company had 27,550,222 and 21,666,012 shares of common stock issued and outstanding, respectively.</w:t>
      </w:r>
    </w:p>
    <w:p>
      <w:pPr>
        <w:spacing w:after="0" w:line="84"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Each share of common stock entitles the holder to one vote on all matters submitted to a vote of the Company’s stockholders. Common stockholders are entitled to receive dividends, as may be declared by the Company’s Board, if any. As of December 31, 2025 and 2024, no dividends had been declared.</w:t>
      </w:r>
    </w:p>
    <w:p>
      <w:pPr>
        <w:spacing w:after="0" w:line="102"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In the event of liquidation or dissolution, the holders of the common stock are entitled to receive proportionately all assets available for distribution to stockholders after the payment of all debts and other liabilities and subject to the prior rights of any outstanding preferred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Issuance of Common Stock and Warrants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Wainwright Sales Agreement</w:t>
      </w:r>
    </w:p>
    <w:p>
      <w:pPr>
        <w:spacing w:after="0" w:line="17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On May 15, 2025, the Company entered into the Wainwright Sales Agreement with H.C. Wainwright, as agent and/or principal, pursuant to which the Company could offer and sell shares of its common stock having an aggregate offering price of up to $13,702 from time to time through or to H.C. Wainwright by any method permitted that is deemed to be an “at the market offering” as defined in Rule 415(a)(4) promulgated under the Securities Act of 1933, as amended. As of December 31, 2025, the Company had issued and sold 999,967 shares of common stock pursuant to the Wainwright Sales Agreement for total net proceeds of $1,489, after deducting transaction fees of $ 52 paid by the Company. In July 2025, in connection with the Yorkville Transactions, the Company reduced the aggregate offering price of the shares of common stock that could be offered and sold under the Wainwright Sales Agreement to $8,067.</w:t>
      </w:r>
    </w:p>
    <w:p>
      <w:pPr>
        <w:spacing w:after="0" w:line="11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Prior to entering into the Wainwright Sales Agreement, in May 2025, the Company terminated its “at the market offering” pursuant to the Equity Distribution Agreement with Citizens JMP. Through May 2025, the Company issued and sold 317,772 shares of common stock pursuant to the Equity Distribution Agreement for total net proceeds of $712, after deducting transaction fees of $22 paid by the Company. The Company did not issue or sell any other shares of common stock pursuant to the Equity Distribution Agreement during the year ended December 31, 2025. The Company did not sell any shares of common stock pursuant to the Equity Distribution Agreement during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 Exercises and Exchanges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F-22</w:t>
      </w:r>
    </w:p>
    <w:p>
      <w:pPr>
        <w:sectPr>
          <w:pgSz w:w="12240" w:h="15840" w:orient="portrait"/>
          <w:cols w:equalWidth="0" w:num="1">
            <w:col w:w="9360"/>
          </w:cols>
          <w:pgMar w:left="1440" w:top="1420" w:right="1440" w:bottom="177" w:gutter="0" w:footer="0" w:header="0"/>
        </w:sectPr>
      </w:pPr>
    </w:p>
    <w:bookmarkStart w:id="130" w:name="page131"/>
    <w:bookmarkEnd w:id="130"/>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On April 21, 2025, the Company entered into privately negotiated letter agreements with certain holders of its outstanding warrants issued on November 2, 2023, or the PIPE Warrants, and May 1, 2024, or the Offering Warrants. Pursuant to these agreements, certain holders agreed to exercise the PIPE Warrants for an aggregate of 159,500 shares of the Company’s common stock and the Offering Warrants for an aggregate of 890,138 shares of common stock, at a reduced exercise price of $1.60 per share. The original exercise prices were $4.89 per share for the PIPE Warrants and $4.68 per share for the Offering Warrants. The exercise of the PIPE Warrants was completed on April 24, 2025, and the exercise of the Offering Warrants was completed in May 2025 (collectively, the “Warrant Exercises”). The Company received total net proceeds of $1,595 from the Warrant Exercises.</w:t>
      </w:r>
    </w:p>
    <w:p>
      <w:pPr>
        <w:spacing w:after="0" w:line="121"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Separately, in April 2025, the Company entered into agreements with additional holders of the PIPE Warrants who agreed to surrender warrants representing an aggregate of 1,939,000 shares of common stock for cancellation. In exchange, these holders received pre-funded warrants (the “Exchange Pre-Funded Warrants”) exercisable for the same number of shares at an exercise price of $0.001 per share and paid $1.599 per share in cash by April 24, 2025 (the “Warrant Exchanges”). The Company received total net proceeds of $2,984 from the Warrant Exchanges.</w:t>
      </w:r>
    </w:p>
    <w:p>
      <w:pPr>
        <w:spacing w:after="0" w:line="11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As part of the Warrant Exchanges, entities affiliated with Bios Equity Partners, LP (“Bios Partners”) surrendered PIPE Warrants representing an aggregate of 1,300,500 shares and provided the associated cash consideration of $2,079 for the issuance of Exchange Pre-Funded Warrants.</w:t>
      </w:r>
    </w:p>
    <w:p>
      <w:pPr>
        <w:spacing w:after="0" w:line="10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addition, on April 21, 2025, an entity affiliated with Bios Partners agreed to purchase additional pre-funded warrants to acquire 312,695 shares of the Company’s common stock in a private placement at a price of $ 1.599 per share, resulting in total net proceeds of $481 (the “Bios Pre-Funded Warrants”). The Exchange Pre-Funded Warrants and the Bios Pre-Funded Warrants are collectively referred to as the “Pre-Funded Warrants.”</w:t>
      </w:r>
    </w:p>
    <w:p>
      <w:pPr>
        <w:spacing w:after="0" w:line="11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auto"/>
        </w:rPr>
        <w:t xml:space="preserve">The Company assessed the Pre-Funded Warrants for appropriate classification under U.S. GAAP and determined that they are freestanding instruments that do not meet the definition of a liability pursuant to ASC 480 and do not meet the definition of a derivative pursuant to ASC 815, </w:t>
      </w:r>
      <w:r>
        <w:rPr>
          <w:rFonts w:ascii="Times New Roman" w:cs="Times New Roman" w:eastAsia="Times New Roman" w:hAnsi="Times New Roman"/>
          <w:sz w:val="19"/>
          <w:szCs w:val="19"/>
          <w:i w:val="1"/>
          <w:iCs w:val="1"/>
          <w:color w:val="auto"/>
        </w:rPr>
        <w:t>Derivatives and Hedging</w:t>
      </w:r>
      <w:r>
        <w:rPr>
          <w:rFonts w:ascii="Times New Roman" w:cs="Times New Roman" w:eastAsia="Times New Roman" w:hAnsi="Times New Roman"/>
          <w:sz w:val="19"/>
          <w:szCs w:val="19"/>
          <w:color w:val="auto"/>
        </w:rPr>
        <w:t>. The Pre-Funded Warrants are indexed to the Company’s common stock and meet all other conditions for equity classification under ASC 480 and ASC 815. Accordingly, the Pre-Funded Warrants are classified as equity and accounted for as a component of additional paid-in capital at the time of issuance. The Pre-Funded Warrants were initially recognized at their fair value, calculated as the fair value of the underlying common stock less the exercise price of $0.001 per share. The fair value of the common stock was determined based on the quoted market price of the Company’s common stock as of the issuance date. The Pre-Funded Warrants will not be remeasured subsequent to initial recognition.</w:t>
      </w:r>
    </w:p>
    <w:p>
      <w:pPr>
        <w:spacing w:after="0" w:line="108"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auto"/>
        </w:rPr>
        <w:t>The repricing of the PIPE Warrants and the Offering Warrants and issuance of the Exchange Pre-Funded Warrants is considered a modification under the guidance of ASU 2021-04. The modification is consistent with the “Equity Issuance” classification under that guidance as the reason for the modification was to induce the holder to cash exercise their warrants, resulting in the imminent exercise of the PIPE Warrants and the Offering Warrants, which raised equity capital and generated net proceeds for the Company of approximately $4,601. The total fair value of the consideration of the modification includes the incremental fair value of the PIPE Warrants and the Offering Warrants (determined by comparing the fair values immediately prior to and immediately after the modification) and the initial fair value of the PIPE Warrants and the Offering Warrants. The fair values of the PIPE Warrants and the Offering Warrants were calculated using the Black-Scholes model. The Company determined that the total fair value of the consideration related to the modification of PIPE Warrants and the Offering Warrants, including the initial fair value of the Exchange Pre-Funded Warrants was $4,757. The net effect of the modification in the amount of $490, as well as the value of the replaced PIPE warrants of $1,385 and the fair value of the Exchange Pre-Funded Warrants of $5,652 were recorded in additional paid-in capital, as both the original warrants (the PIPE Warrants and the Offering Warrants) and the replacement instruments (the Exchange Pre-Funded Warrants) are equity-classified.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Offering Warrants</w:t>
      </w:r>
    </w:p>
    <w:p>
      <w:pPr>
        <w:spacing w:after="0" w:line="172"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auto"/>
        </w:rPr>
        <w:t>In May 2024, the Company completed the Offering pursuant to which the Company issued and sold 4,273,505 shares of the Company’s common stock and accompanying the Offering Warrants to purchase 4,273,505 shares of common stock. All of the Offering Shares and the Offering Warrants were sold by the Company. Each Offering Share was offered and sold together with an accompanying Offering Warrant at a combined public offering price of $4.68, and the underwriter purchased each Offering Share and accompanying Offering Warrant from the Company, after the underwriting discount, at a combined price of $4.35. Net proceeds from the Offering were approximately $17,675,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F-23</w:t>
      </w:r>
    </w:p>
    <w:p>
      <w:pPr>
        <w:sectPr>
          <w:pgSz w:w="12240" w:h="15840" w:orient="portrait"/>
          <w:cols w:equalWidth="0" w:num="1">
            <w:col w:w="9360"/>
          </w:cols>
          <w:pgMar w:left="1440" w:top="1418" w:right="1440" w:bottom="177" w:gutter="0" w:footer="0" w:header="0"/>
        </w:sectPr>
      </w:pPr>
    </w:p>
    <w:bookmarkStart w:id="131" w:name="page132"/>
    <w:bookmarkEnd w:id="131"/>
    <w:p>
      <w:pPr>
        <w:jc w:val="both"/>
        <w:spacing w:after="0" w:line="280" w:lineRule="auto"/>
        <w:rPr>
          <w:sz w:val="20"/>
          <w:szCs w:val="20"/>
          <w:color w:val="auto"/>
        </w:rPr>
      </w:pPr>
      <w:r>
        <w:rPr>
          <w:rFonts w:ascii="Times New Roman" w:cs="Times New Roman" w:eastAsia="Times New Roman" w:hAnsi="Times New Roman"/>
          <w:sz w:val="20"/>
          <w:szCs w:val="20"/>
          <w:color w:val="auto"/>
        </w:rPr>
        <w:t>after deducting underwriting discounts and commissions and offering expenses, and excluding any proceeds that may be received from exercise of the Offering Warrants. The Offering closed on May 3, 2024.</w:t>
      </w:r>
    </w:p>
    <w:p>
      <w:pPr>
        <w:spacing w:after="0" w:line="83"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Each Offering Warrant has an exercise price per share of common stock equal to $4.68. Each Offering Warrant may be exercised until May 1, 2027. Each Offering Warrant is exercisable solely by means of a cash exercise, except that an Offering Warrant is exercisable via cashless exercise if at the time of exercise, a registration statement registering the issuance of Offering Warrant Shares is not then effective or the prospectus contained therein is not available for the issuance of Offering Warrant Shares.</w:t>
      </w:r>
    </w:p>
    <w:p>
      <w:pPr>
        <w:spacing w:after="0" w:line="11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Offering Warrants include certain rights upon “fundamental transactions” as described in the Offering Warrants, including the right of the holders thereof to receive from the Company or a successor entity the same type or form of consideration (and in the same proportion) that is being offered and paid to the holders of common stock in such fundamental transaction (as described in such Offering Warrants) of the unexercised portion of the applicable Warrants immediately prior to such fundamental transaction. A holder of Offering Warrants (together with its affiliates) may not exercise any portion of an Offering Warrant to the extent that the holder would beneficially own more than 4.99% (or, at the election of the holder, 9.99%) of the Company’s outstanding common stock immediately after exercise.</w:t>
      </w:r>
    </w:p>
    <w:p>
      <w:pPr>
        <w:spacing w:after="0" w:line="12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Company had assessed the Offering Warrants for appropriate equity or liability classification and determined the Offering Warrants are freestanding instruments that do not meet the definition of a liability pursuant to ASC 480 and do not meet the definition of a derivative pursuant to ASC 815. The Offering Warrants are indexed to the Company’s common stock and meet all other conditions for equity classification under ASC 480 and ASC 815. Accordingly, the Offering Warrants are classified as equity and accounted for as a component of additional paid-in capital at the time of issuance. The Offering Warrants were initially recognized at their relative fair value in the amount of $8.0 million at the time of issuance determined using Black-Scholes option-pricing model and will not be remeasured.</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assumptions were used to perform the Offering Warrants valuation: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May 3,</w:t>
            </w:r>
          </w:p>
        </w:tc>
        <w:tc>
          <w:tcPr>
            <w:tcW w:w="0" w:type="dxa"/>
            <w:vAlign w:val="bottom"/>
          </w:tcPr>
          <w:p>
            <w:pPr>
              <w:spacing w:after="0"/>
              <w:rPr>
                <w:sz w:val="1"/>
                <w:szCs w:val="1"/>
                <w:color w:val="auto"/>
              </w:rPr>
            </w:pPr>
          </w:p>
        </w:tc>
      </w:tr>
      <w:tr>
        <w:trPr>
          <w:trHeight w:val="188"/>
        </w:trPr>
        <w:tc>
          <w:tcPr>
            <w:tcW w:w="7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0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45"/>
        </w:trPr>
        <w:tc>
          <w:tcPr>
            <w:tcW w:w="746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00" w:type="dxa"/>
            <w:vAlign w:val="bottom"/>
            <w:shd w:val="clear" w:color="auto" w:fill="E7E7E7"/>
          </w:tcPr>
          <w:p>
            <w:pPr>
              <w:spacing w:after="0"/>
              <w:rPr>
                <w:sz w:val="21"/>
                <w:szCs w:val="21"/>
                <w:color w:val="auto"/>
              </w:rPr>
            </w:pPr>
          </w:p>
        </w:tc>
        <w:tc>
          <w:tcPr>
            <w:tcW w:w="16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0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113.5 %</w:t>
            </w:r>
          </w:p>
        </w:tc>
        <w:tc>
          <w:tcPr>
            <w:tcW w:w="0" w:type="dxa"/>
            <w:vAlign w:val="bottom"/>
          </w:tcPr>
          <w:p>
            <w:pPr>
              <w:spacing w:after="0"/>
              <w:rPr>
                <w:sz w:val="1"/>
                <w:szCs w:val="1"/>
                <w:color w:val="auto"/>
              </w:rPr>
            </w:pPr>
          </w:p>
        </w:tc>
      </w:tr>
      <w:tr>
        <w:trPr>
          <w:trHeight w:val="244"/>
        </w:trPr>
        <w:tc>
          <w:tcPr>
            <w:tcW w:w="746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00" w:type="dxa"/>
            <w:vAlign w:val="bottom"/>
            <w:shd w:val="clear" w:color="auto" w:fill="E7E7E7"/>
          </w:tcPr>
          <w:p>
            <w:pPr>
              <w:spacing w:after="0"/>
              <w:rPr>
                <w:sz w:val="21"/>
                <w:szCs w:val="21"/>
                <w:color w:val="auto"/>
              </w:rPr>
            </w:pPr>
          </w:p>
        </w:tc>
        <w:tc>
          <w:tcPr>
            <w:tcW w:w="16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E7E7E7"/>
              </w:rPr>
              <w:t>%</w:t>
            </w:r>
          </w:p>
        </w:tc>
        <w:tc>
          <w:tcPr>
            <w:tcW w:w="0" w:type="dxa"/>
            <w:vAlign w:val="bottom"/>
          </w:tcPr>
          <w:p>
            <w:pPr>
              <w:spacing w:after="0"/>
              <w:rPr>
                <w:sz w:val="1"/>
                <w:szCs w:val="1"/>
                <w:color w:val="auto"/>
              </w:rPr>
            </w:pPr>
          </w:p>
        </w:tc>
      </w:tr>
      <w:tr>
        <w:trPr>
          <w:trHeight w:val="244"/>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Stock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46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Exercise price</w:t>
            </w: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62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4.68</w:t>
            </w:r>
          </w:p>
        </w:tc>
        <w:tc>
          <w:tcPr>
            <w:tcW w:w="1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-304800</wp:posOffset>
                </wp:positionV>
                <wp:extent cx="59436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468pt,-24pt" o:allowincell="f" strokecolor="#FFFFFF" strokeweight="0.72pt"/>
            </w:pict>
          </mc:Fallback>
        </mc:AlternateContent>
      </w:r>
    </w:p>
    <w:p>
      <w:pPr>
        <w:spacing w:after="0" w:line="79"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Offering Warrants to purchase 884,798 shares of common stock were exercised in April 2025 as part of April 2025 Transactions. As of December 31, 2025, Offering Warrants to purchase 3,388,707 shares of common stock remained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Prepaid Purchase Agreement</w:t>
      </w:r>
    </w:p>
    <w:p>
      <w:pPr>
        <w:spacing w:after="0" w:line="172"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On July 29, 2025, the Company entered into a PPA with Yorkville, pursuant to which the Company may request pre-paid advances of up to $6,000 from Yorkville over a 12-month period, subject to certain limitations and conditions set forth in the PPA. Each Pre-Paid Advance is subject to the consent of Yorkville. Interest shall accrue on the outstanding balance of any Pre -Paid Advance at an annual rate of 8%, subject to an increase to 18% upon events of default described in the PPA. All Pre-Paid Advances are due and payable on the 12-month anniversary of their issuance. At any time that there is an outstanding balance under any Pre-Paid Advances, Yorkville may provide written notice, or Purchase Notice, requiring the Company to issue and sell shares of its common stock to Yorkville, which shall be offset against and reduce the amounts outstanding under the Pre-Paid Advance. The initial advance under the PPA of $1,000 was purchased on July 29, 2025, with net proceeds of $950 after a 5% original issue discount, or OID. On September 8, 2025, the Company entered into a second PPA with Yorkville for an additional $1,000 advance, with net proceeds of $950 after the 5% OID. On October 23, 2025, the Company entered into a third PPA with Yorkville for an additional $1,000 advance, with net proceeds of $950 after the 5% 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F-24</w:t>
      </w:r>
    </w:p>
    <w:p>
      <w:pPr>
        <w:sectPr>
          <w:pgSz w:w="12240" w:h="15840" w:orient="portrait"/>
          <w:cols w:equalWidth="0" w:num="1">
            <w:col w:w="9360"/>
          </w:cols>
          <w:pgMar w:left="1440" w:top="1418" w:right="1440" w:bottom="177" w:gutter="0" w:footer="0" w:header="0"/>
        </w:sectPr>
      </w:pPr>
    </w:p>
    <w:bookmarkStart w:id="132" w:name="page133"/>
    <w:bookmarkEnd w:id="132"/>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 xml:space="preserve">The Company elected the fair value option under ASC 825,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or ASC 825, to measure the PPAs at fair value, with changes in fair value recognized in earnings. The initial fair value was determined to be equal to the net proceeds received ( $950 per PPA), as this amount represented the cash consideration exchanged, consistent with ASC 825. OID costs of $ 100 related to the first and second PPA were expensed as incurred in the third quarter of 2025, as required under the fair value option. Additionally, the Company incurred legal costs of $118 which were expensed in the consolidated statements of operations and other comprehensive loss.</w:t>
      </w:r>
    </w:p>
    <w:p>
      <w:pPr>
        <w:spacing w:after="0" w:line="11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Under the terms of the PPAs, the Company issued shares of common stock to Yorkville in satisfaction of the advances. The number of shares issued was determined based on the applicable purchase price per share equal to the lower of (a) 115% of the daily volume weighted average price, or the VWAP, of the Company’s common stock on the last full trading day immediately prior to the date of such Pre-Paid Advance and (b) 95% of the lowest daily VWAP of the Company’s common stock during the seven consecutive trading days immediately preceding the date on which Yorkville provides the Purchase Notice to the Company, but in no event less than the floor price set forth in the PPA. The carrying value of the PPA and accrued interest were reduced by the issuance of the shares.</w:t>
      </w:r>
    </w:p>
    <w:p>
      <w:pPr>
        <w:spacing w:after="0" w:line="120"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Under the terms of the PPAs, through September 24, 2025, the Company issued an aggregate of 1,880,872 shares of common stock to Yorkville (953,765 shares under the first PPA through September 9, 2025, and 927,107 shares under the second PPA), based on the principal of $2,000 from the PPA and $11 of interest expense. The shares were recorded at par value of $0.001 per share with the remainder credited to additional paid-in capital, or APIC.</w:t>
      </w:r>
    </w:p>
    <w:p>
      <w:pPr>
        <w:spacing w:after="0" w:line="97"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On October 23, 2025, Yorkville purchased a third PPA of $1,000, for which the Company received net proceeds of $950. The third PPA was converted to 846,290 shares of the Company’s common stock in October 2025, with no remaining outstanding balance. The shares were recorded at par value of $0.001 per share with the remainder credited to APIC.</w:t>
      </w:r>
    </w:p>
    <w:p>
      <w:pPr>
        <w:spacing w:after="0" w:line="11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initial, the second and the third PPAs were fully settled as of December 31, 2025, with no remaining outstanding balance. Accordingly, the fair value of the liabilities at December 31, 2025, was $0, and no adjustment for changes in fair value was required.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On December 11, 2025, the Company terminated the PPA.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Standby Equity Purchase Agreement</w:t>
      </w:r>
    </w:p>
    <w:p>
      <w:pPr>
        <w:spacing w:after="0" w:line="172"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On July 29, 2025, the Company entered into a SEPA with Yorkville. Under the SEPA, the Company has the right to sell to Yorkville up to $15.0 million of its common stock, par value $0.001 per share, subject to certain limitations and conditions set forth in the SEPA, from time to time, over a 36-month period.</w:t>
      </w:r>
    </w:p>
    <w:p>
      <w:pPr>
        <w:spacing w:after="0" w:line="102"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Company did not issue any SEPA Advances during the year ended December 31, 2025. On December 11, 2025, the Company terminated the SEPA.</w:t>
      </w:r>
    </w:p>
    <w:p>
      <w:pPr>
        <w:spacing w:after="0" w:line="8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At the 2023 Annual Meeting, the Company’s stockholders also approved the issuance, in accordance with Nasdaq Listing Rule 5635(a), of shares of common stock, upon conversion of the Company’s outstanding Series X Preferred Stock. On March 5, 2024, based upon then existing beneficial ownership limitations, 11,957 shares of Series X Preferred Stock were automatically converted into 11,957,000 shares of common stock.</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there were:</w:t>
      </w:r>
    </w:p>
    <w:p>
      <w:pPr>
        <w:spacing w:after="0" w:line="174"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12,469,000 shares of common stock reserved for issuance upon conversion of the Series X Preferred Stock;</w:t>
      </w:r>
    </w:p>
    <w:p>
      <w:pPr>
        <w:spacing w:after="0" w:line="57" w:lineRule="exact"/>
        <w:rPr>
          <w:sz w:val="20"/>
          <w:szCs w:val="20"/>
          <w:color w:val="auto"/>
        </w:rPr>
      </w:pPr>
    </w:p>
    <w:p>
      <w:pPr>
        <w:ind w:left="980"/>
        <w:spacing w:after="0" w:line="280" w:lineRule="auto"/>
        <w:rPr>
          <w:sz w:val="20"/>
          <w:szCs w:val="20"/>
          <w:color w:val="auto"/>
        </w:rPr>
      </w:pPr>
      <w:r>
        <w:rPr>
          <w:rFonts w:ascii="Times New Roman" w:cs="Times New Roman" w:eastAsia="Times New Roman" w:hAnsi="Times New Roman"/>
          <w:sz w:val="20"/>
          <w:szCs w:val="20"/>
          <w:color w:val="auto"/>
        </w:rPr>
        <w:t>3,143,997 shares of common stock issuable upon the exercise of options under existing equity incentive plans;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420,000 shares of common stock issuable for vested but unsettled restricted stock units (Note 10);</w:t>
      </w:r>
    </w:p>
    <w:p>
      <w:pPr>
        <w:spacing w:after="0" w:line="134"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20"/>
          <w:szCs w:val="20"/>
          <w:color w:val="auto"/>
        </w:rPr>
        <w:t>1,914,194 and 7,500 shares of common stock reserved for issuance under the 2021 Plan (Note 10) and 2017 ESPP (Note 10), respectively, as well as any automatic increases in the number of shares of the common stock reserved under these plans;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F-25</w:t>
      </w:r>
    </w:p>
    <w:p>
      <w:pPr>
        <w:sectPr>
          <w:pgSz w:w="12240" w:h="15840" w:orient="portrait"/>
          <w:cols w:equalWidth="0" w:num="1">
            <w:col w:w="9360"/>
          </w:cols>
          <w:pgMar w:left="1440" w:top="1418" w:right="1440" w:bottom="177" w:gutter="0" w:footer="0" w:header="0"/>
        </w:sectPr>
      </w:pPr>
    </w:p>
    <w:bookmarkStart w:id="133" w:name="page134"/>
    <w:bookmarkEnd w:id="133"/>
    <w:p>
      <w:pPr>
        <w:ind w:left="980"/>
        <w:spacing w:after="0" w:line="243" w:lineRule="auto"/>
        <w:rPr>
          <w:sz w:val="20"/>
          <w:szCs w:val="20"/>
          <w:color w:val="auto"/>
        </w:rPr>
      </w:pPr>
      <w:r>
        <w:rPr>
          <w:rFonts w:ascii="Times New Roman" w:cs="Times New Roman" w:eastAsia="Times New Roman" w:hAnsi="Times New Roman"/>
          <w:sz w:val="20"/>
          <w:szCs w:val="20"/>
          <w:color w:val="auto"/>
        </w:rPr>
        <w:t>6,621,839 shares of common stock reserved for issuance upon exercise of outstanding warrants. The warrants consist of (i) warrants to purchase 726,437 shares of the Company’s common stock, with an exercise price of $5.66, which expire on May 20, 2029, which were assumed in connection with the Lung Acquisition, (ii) warrants to purchase 255,000 shares of the Company’s common stock, with an exercise price of $4.89 per share, which were issued and sold in the PIPE Financing as described above and expire on May 2, 2027, (iii) warrants to purchase 3,388,707 shares of the Company’s common stock, with an exercise price of $4.68 per share, which were issued and sold in the Offering as described above and expire on May 3, 2027, (iv) the Exchange Pre-Funded Warrants to purchase 1,939,000 shares of the Company's common stock, with an exercise price of $0.001 per share, which were issued and sold in the Warrant Exchanges as described above can be exercised at any time after their original issuance until such Exchange Pre-Funded Warrants are exercised in full, and (v) the Bios Pre-Funded Warrants to purchase 312,695 shares of the Company's common stock, with an exercise price of $0.001 per share, which were issued and sold in April 2025 as described above and can be exercised at any time after their original issuance until such Bios Pre-Funded Warrants are exercised in full.</w:t>
      </w:r>
    </w:p>
    <w:p>
      <w:pPr>
        <w:spacing w:after="0" w:line="119"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Accordingly, as of December 31, 2025, out of the 100,000,000 shares of common stock presently authorized, 52,126,752 shares are issued and outstanding or reserved for issuance and 47,843,248 shares of common stock remain available for future 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Compensation</w:t>
      </w:r>
    </w:p>
    <w:p>
      <w:pPr>
        <w:spacing w:after="0" w:line="122"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The Company has a 401(k) plan available for participating employees who meet certain eligibility requirements. Eligible employees may defer a portion of their salary as defined by the plan. The Company provides an employer match, which is 100% of employee deferrals up to the first 3% of compensation for the period and 50% of the next 2% of compensation for the period and is immediately vested. The Company made matching contributions in the amount of $99 and $101 for the years ended December 31, 2025 and 2024,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Stock-Based Awards</w:t>
      </w:r>
    </w:p>
    <w:p>
      <w:pPr>
        <w:spacing w:after="0" w:line="122"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As of December 31, 2025, the Company had five equity compensation plans, each of which was approved by its stockholders: 2006 Equity Incentive Plan, as amended, or the 2006 Plan, 2016 Stock Incentive Plan, or the 2016 Plan, 2017 Stock Incentive Plan, or the 2017 Plan, 2021 Stock Incentive Plan, or the 2021 Plan, and 2017 Employee Stock Purchase Plan, or the 2017 ESPP. The Company also assumed Lung’s 2013 Long-Term Incentive Plan, or the 2013 Plan, as a result of the Lung Acquisition.</w:t>
      </w:r>
    </w:p>
    <w:p>
      <w:pPr>
        <w:spacing w:after="0" w:line="11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As of December 31, 2025, the Company had no shares issuable upon exercise of outstanding options under the 2006 Plan; 8,404 shares to be issued upon exercise of outstanding options under the 2016 Plan, 98,528 shares to be issued upon exercise of outstanding options under the 2017 Plan and 1,520,179 shares to be issued upon exercise of outstanding options under the 2021 Plan. No shares remained available for future awards under the 2006 Plan, the 2016 Plan, and the 2017 Plan as of December 31, 2025. Shares that are expired, terminated, surrendered or canceled without having been fully exercised under the 2017 Plan will be available for future awards under the 2021 Plan. In addition, shares of common stock that are tendered to the Company by a participant to exercise an award are added to the number of shares of common stock available for the grant of awards under the 2021 Plan.</w:t>
      </w:r>
    </w:p>
    <w:p>
      <w:pPr>
        <w:spacing w:after="0" w:line="12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Under the 2021 Plan, shares that are expired, terminated, surrendered or canceled without having been fully exercised will be available for future awards. In addition, shares of common stock that are tendered to the Company by a participant to exercise an award are added to the number of shares of common stock available for the grant of awards.</w:t>
      </w:r>
    </w:p>
    <w:p>
      <w:pPr>
        <w:spacing w:after="0" w:line="110"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exercise price for stock options granted may not be less than the fair market value of the common stock as of the date of grant.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Stock Incentive Plan</w:t>
      </w:r>
    </w:p>
    <w:p>
      <w:pPr>
        <w:spacing w:after="0" w:line="157"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19"/>
          <w:szCs w:val="19"/>
          <w:color w:val="auto"/>
        </w:rPr>
        <w:t>The Company’s 2021 Plan was approved by the Company’s stockholders on June 15, 2021 and became effective on June 16, 2021. At the 2023 Annual Meeting, the stockholders of the Company approved an amendment, or the Plan Amendment, to the 2021 Plan to increase the number of shares of common stock issuable under the 2021 Plan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F-26</w:t>
      </w:r>
    </w:p>
    <w:p>
      <w:pPr>
        <w:sectPr>
          <w:pgSz w:w="12240" w:h="15840" w:orient="portrait"/>
          <w:cols w:equalWidth="0" w:num="1">
            <w:col w:w="9360"/>
          </w:cols>
          <w:pgMar w:left="1440" w:top="1433" w:right="1440" w:bottom="177" w:gutter="0" w:footer="0" w:header="0"/>
        </w:sectPr>
      </w:pPr>
    </w:p>
    <w:bookmarkStart w:id="134" w:name="page135"/>
    <w:bookmarkEnd w:id="134"/>
    <w:p>
      <w:pPr>
        <w:jc w:val="both"/>
        <w:spacing w:after="0" w:line="280" w:lineRule="auto"/>
        <w:rPr>
          <w:sz w:val="20"/>
          <w:szCs w:val="20"/>
          <w:color w:val="auto"/>
        </w:rPr>
      </w:pPr>
      <w:r>
        <w:rPr>
          <w:rFonts w:ascii="Times New Roman" w:cs="Times New Roman" w:eastAsia="Times New Roman" w:hAnsi="Times New Roman"/>
          <w:sz w:val="20"/>
          <w:szCs w:val="20"/>
          <w:color w:val="auto"/>
        </w:rPr>
        <w:t>by 3,000,000 shares to 3,840,254. Other than increasing the number of shares issuable under the 2021 Plan, the Plan Amendment does not make any changes to the 2021 Plan.</w:t>
      </w:r>
    </w:p>
    <w:p>
      <w:pPr>
        <w:spacing w:after="0" w:line="8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Under the 2021 Plan, the Company may grant incentive stock options, nonstatutory stock options, stock appreciation rights, restricted stock awards, awards of restricted stock units and other stock -based awards. The Company’s employees, officers, directors, consultants and advisors are eligible to receive awards under the 2021 Plan; however, incentive stock options may only be granted to employees. The 2021 Plan is administered by the Board or, at the discretion of the Board, by a committee of the Board. The number of shares of common stock covered by options and the date those options become exercisable, type of options to be granted, exercise prices, vesting and other restrictions are determined at the discretion of the Board, or its committee if so delegated.</w:t>
      </w:r>
    </w:p>
    <w:p>
      <w:pPr>
        <w:spacing w:after="0" w:line="120"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Stock options granted under the 2021 Plan with service-based vesting conditions generally vest over four years and may not have a duration in excess of ten years, although options have been granted with vesting terms of less than four years.</w:t>
      </w:r>
    </w:p>
    <w:p>
      <w:pPr>
        <w:spacing w:after="0" w:line="10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total number of shares of common stock that may be issued under the 2021 Plan was 3,840,254 as of December 31, 2025, of which 1,914,194 shares remained available for grant. The Company initially reserved 625,000 shares of common stock, plus the number of shares of common stock subject to outstanding awards under the 2017 Plan, the 2016 Plan and the 2006 Plan that expire, terminate or are otherwise surrendered, canceled, forfeited or repurchased by the Company at their original issuance price pursuant to a contractual repurchase right up to 314,006 shares. As of December 31, 2025, the Company had 1,520,179 shares to be issued upon exercise of outstanding options under the 2021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2013 Stock Incentive Plan</w:t>
      </w:r>
    </w:p>
    <w:p>
      <w:pPr>
        <w:spacing w:after="0" w:line="157"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The Company assumed the 2013 Plan as a result of the Lung Acquisition. In October 2013, Lung’s Board of Directors, or the Lung Board, approved the 2013 Plan to provide long-term incentives for its employees, non-employee directors and certain consultants. As of December 31, 2025, 1,516,886 shares were reserved to be issued upon exercise of options outstanding under the 2013 Plan. These options were assumed by the Company in connection with the Lung Acquisition.</w:t>
      </w:r>
    </w:p>
    <w:p>
      <w:pPr>
        <w:spacing w:after="0" w:line="11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Before the Lung Acquisition, the 2013 Plan was administered by the Lung Board or, at the discretion of the Lung Board, by a committee of the Lung Board. The exercise prices, vesting and other restrictions were determined at the discretion of the Lung Board, or its committee if so delegated, except that the exercise price per share of stock options may not be less than 100% of the fair market value of the share of common stock on the date of grant and the term of stock option may not be greater than ten years. The contractual term for stock option awards is ten years. The vesting periods for equity awards were determined by the Lung Board, but generally were four years. The contractual term for stock option awards is ten years. Following the closing of the Lung Acquisition on October 31, 2023, no further awards can be granted under the 2013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Valuation</w:t>
      </w:r>
    </w:p>
    <w:p>
      <w:pPr>
        <w:spacing w:after="0" w:line="158"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assumptions that the Company used to determine the grant-date fair value of the stock options granted to employees and directors during the year ended December 31, 2025 and 2024 were as follows, presented on a weighted average basis:</w:t>
      </w:r>
    </w:p>
    <w:p>
      <w:pPr>
        <w:spacing w:after="0" w:line="16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3850005</wp:posOffset>
                </wp:positionH>
                <wp:positionV relativeFrom="paragraph">
                  <wp:posOffset>22860</wp:posOffset>
                </wp:positionV>
                <wp:extent cx="197802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80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5pt,1.8pt" to="458.9pt,1.8pt" o:allowincell="f" strokecolor="#FFFFFF" strokeweight="0.72pt"/>
            </w:pict>
          </mc:Fallback>
        </mc:AlternateContent>
      </w:r>
    </w:p>
    <w:tbl>
      <w:tblPr>
        <w:tblLayout w:type="fixed"/>
        <w:tblInd w:w="0" w:type="dxa"/>
        <w:tblCellMar>
          <w:top w:w="0" w:type="dxa"/>
          <w:left w:w="0" w:type="dxa"/>
          <w:bottom w:w="0" w:type="dxa"/>
          <w:right w:w="0" w:type="dxa"/>
        </w:tblCellMar>
      </w:tblPr>
      <w:tr>
        <w:trPr>
          <w:trHeight w:val="188"/>
        </w:trPr>
        <w:tc>
          <w:tcPr>
            <w:tcW w:w="6060" w:type="dxa"/>
            <w:vAlign w:val="bottom"/>
            <w:gridSpan w:val="2"/>
          </w:tcPr>
          <w:p>
            <w:pPr>
              <w:spacing w:after="0"/>
              <w:rPr>
                <w:sz w:val="16"/>
                <w:szCs w:val="16"/>
                <w:color w:val="auto"/>
              </w:rPr>
            </w:pP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r>
      <w:tr>
        <w:trPr>
          <w:trHeight w:val="233"/>
        </w:trPr>
        <w:tc>
          <w:tcPr>
            <w:tcW w:w="6060" w:type="dxa"/>
            <w:vAlign w:val="bottom"/>
            <w:tcBorders>
              <w:bottom w:val="single" w:sz="8" w:color="E7E7E7"/>
            </w:tcBorders>
            <w:gridSpan w:val="2"/>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00" w:type="dxa"/>
            <w:vAlign w:val="bottom"/>
            <w:tcBorders>
              <w:bottom w:val="single" w:sz="8" w:color="E7E7E7"/>
            </w:tcBorders>
          </w:tcPr>
          <w:p>
            <w:pPr>
              <w:spacing w:after="0"/>
              <w:rPr>
                <w:sz w:val="20"/>
                <w:szCs w:val="20"/>
                <w:color w:val="auto"/>
              </w:rPr>
            </w:pPr>
          </w:p>
        </w:tc>
        <w:tc>
          <w:tcPr>
            <w:tcW w:w="800" w:type="dxa"/>
            <w:vAlign w:val="bottom"/>
            <w:tcBorders>
              <w:bottom w:val="single" w:sz="8" w:color="E7E7E7"/>
            </w:tcBorders>
          </w:tcPr>
          <w:p>
            <w:pPr>
              <w:spacing w:after="0"/>
              <w:rPr>
                <w:sz w:val="20"/>
                <w:szCs w:val="20"/>
                <w:color w:val="auto"/>
              </w:rPr>
            </w:pPr>
          </w:p>
        </w:tc>
        <w:tc>
          <w:tcPr>
            <w:tcW w:w="5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00" w:type="dxa"/>
            <w:vAlign w:val="bottom"/>
            <w:tcBorders>
              <w:bottom w:val="single" w:sz="8" w:color="E7E7E7"/>
            </w:tcBorders>
          </w:tcPr>
          <w:p>
            <w:pPr>
              <w:spacing w:after="0"/>
              <w:rPr>
                <w:sz w:val="20"/>
                <w:szCs w:val="20"/>
                <w:color w:val="auto"/>
              </w:rPr>
            </w:pPr>
          </w:p>
        </w:tc>
        <w:tc>
          <w:tcPr>
            <w:tcW w:w="1420" w:type="dxa"/>
            <w:vAlign w:val="bottom"/>
            <w:tcBorders>
              <w:bottom w:val="single" w:sz="8" w:color="E7E7E7"/>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r>
        <w:trPr>
          <w:trHeight w:val="225"/>
        </w:trPr>
        <w:tc>
          <w:tcPr>
            <w:tcW w:w="5950" w:type="dxa"/>
            <w:vAlign w:val="bottom"/>
            <w:shd w:val="clear" w:color="auto" w:fill="E7E7E7"/>
          </w:tcPr>
          <w:p>
            <w:pPr>
              <w:spacing w:after="0" w:line="217" w:lineRule="exact"/>
              <w:rPr>
                <w:sz w:val="20"/>
                <w:szCs w:val="20"/>
                <w:color w:val="auto"/>
              </w:rPr>
            </w:pPr>
            <w:r>
              <w:rPr>
                <w:rFonts w:ascii="Times New Roman" w:cs="Times New Roman" w:eastAsia="Times New Roman" w:hAnsi="Times New Roman"/>
                <w:sz w:val="20"/>
                <w:szCs w:val="20"/>
                <w:color w:val="auto"/>
              </w:rPr>
              <w:t>Expected term (in years)</w:t>
            </w:r>
          </w:p>
        </w:tc>
        <w:tc>
          <w:tcPr>
            <w:tcW w:w="11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5.5</w:t>
            </w:r>
          </w:p>
        </w:tc>
        <w:tc>
          <w:tcPr>
            <w:tcW w:w="18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320" w:type="dxa"/>
            <w:vAlign w:val="bottom"/>
            <w:shd w:val="clear" w:color="auto" w:fill="E7E7E7"/>
          </w:tcPr>
          <w:p>
            <w:pPr>
              <w:jc w:val="right"/>
              <w:spacing w:after="0" w:line="217" w:lineRule="exact"/>
              <w:rPr>
                <w:sz w:val="20"/>
                <w:szCs w:val="20"/>
                <w:color w:val="auto"/>
              </w:rPr>
            </w:pPr>
            <w:r>
              <w:rPr>
                <w:rFonts w:ascii="Times New Roman" w:cs="Times New Roman" w:eastAsia="Times New Roman" w:hAnsi="Times New Roman"/>
                <w:sz w:val="20"/>
                <w:szCs w:val="20"/>
                <w:color w:val="auto"/>
              </w:rPr>
              <w:t>6.0</w:t>
            </w:r>
          </w:p>
        </w:tc>
        <w:tc>
          <w:tcPr>
            <w:tcW w:w="180" w:type="dxa"/>
            <w:vAlign w:val="bottom"/>
            <w:shd w:val="clear" w:color="auto" w:fill="E7E7E7"/>
          </w:tcPr>
          <w:p>
            <w:pPr>
              <w:spacing w:after="0"/>
              <w:rPr>
                <w:sz w:val="19"/>
                <w:szCs w:val="19"/>
                <w:color w:val="auto"/>
              </w:rPr>
            </w:pPr>
          </w:p>
        </w:tc>
      </w:tr>
      <w:tr>
        <w:trPr>
          <w:trHeight w:val="244"/>
        </w:trPr>
        <w:tc>
          <w:tcPr>
            <w:tcW w:w="595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1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800" w:type="dxa"/>
            <w:vAlign w:val="bottom"/>
            <w:tcBorders>
              <w:bottom w:val="single" w:sz="8" w:color="E7E7E7"/>
            </w:tcBorders>
          </w:tcPr>
          <w:p>
            <w:pPr>
              <w:spacing w:after="0"/>
              <w:rPr>
                <w:sz w:val="21"/>
                <w:szCs w:val="21"/>
                <w:color w:val="auto"/>
              </w:rPr>
            </w:pPr>
          </w:p>
        </w:tc>
        <w:tc>
          <w:tcPr>
            <w:tcW w:w="5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1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3"/>
              </w:rPr>
              <w:t>%</w:t>
            </w:r>
          </w:p>
        </w:tc>
        <w:tc>
          <w:tcPr>
            <w:tcW w:w="10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132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1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3"/>
              </w:rPr>
              <w:t>%</w:t>
            </w:r>
          </w:p>
        </w:tc>
      </w:tr>
      <w:tr>
        <w:trPr>
          <w:trHeight w:val="225"/>
        </w:trPr>
        <w:tc>
          <w:tcPr>
            <w:tcW w:w="5950" w:type="dxa"/>
            <w:vAlign w:val="bottom"/>
            <w:shd w:val="clear" w:color="auto" w:fill="E7E7E7"/>
          </w:tcPr>
          <w:p>
            <w:pPr>
              <w:spacing w:after="0" w:line="225" w:lineRule="exact"/>
              <w:rPr>
                <w:sz w:val="20"/>
                <w:szCs w:val="20"/>
                <w:color w:val="auto"/>
              </w:rPr>
            </w:pPr>
            <w:r>
              <w:rPr>
                <w:rFonts w:ascii="Times New Roman" w:cs="Times New Roman" w:eastAsia="Times New Roman" w:hAnsi="Times New Roman"/>
                <w:sz w:val="20"/>
                <w:szCs w:val="20"/>
                <w:color w:val="auto"/>
              </w:rPr>
              <w:t>Expected dividend rate</w:t>
            </w:r>
          </w:p>
        </w:tc>
        <w:tc>
          <w:tcPr>
            <w:tcW w:w="11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0</w:t>
            </w:r>
          </w:p>
        </w:tc>
        <w:tc>
          <w:tcPr>
            <w:tcW w:w="18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E7E7E7"/>
              </w:rPr>
              <w:t>%</w:t>
            </w:r>
          </w:p>
        </w:tc>
        <w:tc>
          <w:tcPr>
            <w:tcW w:w="10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132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0</w:t>
            </w:r>
          </w:p>
        </w:tc>
        <w:tc>
          <w:tcPr>
            <w:tcW w:w="18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E7E7E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-477520</wp:posOffset>
            </wp:positionV>
            <wp:extent cx="5943600" cy="490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extLst>
                    </a:blip>
                    <a:srcRect/>
                    <a:stretch>
                      <a:fillRect/>
                    </a:stretch>
                  </pic:blipFill>
                  <pic:spPr bwMode="auto">
                    <a:xfrm>
                      <a:off x="0" y="0"/>
                      <a:ext cx="5943600" cy="49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F-27</w:t>
      </w:r>
    </w:p>
    <w:p>
      <w:pPr>
        <w:sectPr>
          <w:pgSz w:w="12240" w:h="15840" w:orient="portrait"/>
          <w:cols w:equalWidth="0" w:num="1">
            <w:col w:w="9360"/>
          </w:cols>
          <w:pgMar w:left="1440" w:top="1418" w:right="1440" w:bottom="177"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Company’s stock option activity since January 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5"/>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7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1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02"/>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33"/>
        </w:trPr>
        <w:tc>
          <w:tcPr>
            <w:tcW w:w="4660" w:type="dxa"/>
            <w:vAlign w:val="bottom"/>
            <w:tcBorders>
              <w:top w:val="single" w:sz="8" w:color="E7E7E7"/>
            </w:tcBorders>
            <w:shd w:val="clear" w:color="auto" w:fill="E7E7E7"/>
          </w:tcPr>
          <w:p>
            <w:pPr>
              <w:spacing w:after="0"/>
              <w:rPr>
                <w:sz w:val="20"/>
                <w:szCs w:val="20"/>
                <w:color w:val="auto"/>
              </w:rPr>
            </w:pPr>
            <w:r>
              <w:rPr>
                <w:rFonts w:ascii="Times New Roman" w:cs="Times New Roman" w:eastAsia="Times New Roman" w:hAnsi="Times New Roman"/>
                <w:sz w:val="20"/>
                <w:szCs w:val="20"/>
                <w:color w:val="auto"/>
              </w:rPr>
              <w:t>Outstanding at January 1, 2025</w:t>
            </w:r>
          </w:p>
        </w:tc>
        <w:tc>
          <w:tcPr>
            <w:tcW w:w="100" w:type="dxa"/>
            <w:vAlign w:val="bottom"/>
            <w:tcBorders>
              <w:top w:val="single" w:sz="8" w:color="E7E7E7"/>
            </w:tcBorders>
            <w:shd w:val="clear" w:color="auto" w:fill="E7E7E7"/>
          </w:tcPr>
          <w:p>
            <w:pPr>
              <w:spacing w:after="0"/>
              <w:rPr>
                <w:sz w:val="20"/>
                <w:szCs w:val="20"/>
                <w:color w:val="auto"/>
              </w:rPr>
            </w:pPr>
          </w:p>
        </w:tc>
        <w:tc>
          <w:tcPr>
            <w:tcW w:w="98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shd w:val="clear" w:color="auto" w:fill="E7E7E7"/>
              </w:rPr>
              <w:t>3,169,468</w:t>
            </w:r>
          </w:p>
        </w:tc>
        <w:tc>
          <w:tcPr>
            <w:tcW w:w="90" w:type="dxa"/>
            <w:vAlign w:val="bottom"/>
            <w:tcBorders>
              <w:top w:val="single" w:sz="8" w:color="E7E7E7"/>
            </w:tcBorders>
            <w:shd w:val="clear" w:color="auto" w:fill="E7E7E7"/>
          </w:tcPr>
          <w:p>
            <w:pPr>
              <w:spacing w:after="0"/>
              <w:rPr>
                <w:sz w:val="20"/>
                <w:szCs w:val="20"/>
                <w:color w:val="auto"/>
              </w:rPr>
            </w:pPr>
          </w:p>
        </w:tc>
        <w:tc>
          <w:tcPr>
            <w:tcW w:w="130" w:type="dxa"/>
            <w:vAlign w:val="bottom"/>
            <w:tcBorders>
              <w:top w:val="single" w:sz="8" w:color="E7E7E7"/>
            </w:tcBorders>
            <w:shd w:val="clear" w:color="auto" w:fill="E7E7E7"/>
          </w:tcPr>
          <w:p>
            <w:pPr>
              <w:spacing w:after="0"/>
              <w:rPr>
                <w:sz w:val="20"/>
                <w:szCs w:val="20"/>
                <w:color w:val="auto"/>
              </w:rPr>
            </w:pPr>
          </w:p>
        </w:tc>
        <w:tc>
          <w:tcPr>
            <w:tcW w:w="10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86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180" w:type="dxa"/>
            <w:vAlign w:val="bottom"/>
            <w:tcBorders>
              <w:top w:val="single" w:sz="8" w:color="E7E7E7"/>
            </w:tcBorders>
            <w:shd w:val="clear" w:color="auto" w:fill="E7E7E7"/>
          </w:tcPr>
          <w:p>
            <w:pPr>
              <w:spacing w:after="0"/>
              <w:rPr>
                <w:sz w:val="20"/>
                <w:szCs w:val="20"/>
                <w:color w:val="auto"/>
              </w:rPr>
            </w:pPr>
          </w:p>
        </w:tc>
        <w:tc>
          <w:tcPr>
            <w:tcW w:w="98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20" w:type="dxa"/>
            <w:vAlign w:val="bottom"/>
            <w:tcBorders>
              <w:top w:val="single" w:sz="8" w:color="E7E7E7"/>
            </w:tcBorders>
            <w:shd w:val="clear" w:color="auto" w:fill="E7E7E7"/>
          </w:tcPr>
          <w:p>
            <w:pPr>
              <w:spacing w:after="0"/>
              <w:rPr>
                <w:sz w:val="20"/>
                <w:szCs w:val="20"/>
                <w:color w:val="auto"/>
              </w:rPr>
            </w:pPr>
          </w:p>
        </w:tc>
        <w:tc>
          <w:tcPr>
            <w:tcW w:w="10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86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1,605</w:t>
            </w:r>
          </w:p>
        </w:tc>
        <w:tc>
          <w:tcPr>
            <w:tcW w:w="100" w:type="dxa"/>
            <w:vAlign w:val="bottom"/>
            <w:tcBorders>
              <w:top w:val="single" w:sz="8" w:color="E7E7E7"/>
            </w:tcBorders>
            <w:shd w:val="clear" w:color="auto" w:fill="E7E7E7"/>
          </w:tcPr>
          <w:p>
            <w:pPr>
              <w:spacing w:after="0"/>
              <w:rPr>
                <w:sz w:val="20"/>
                <w:szCs w:val="20"/>
                <w:color w:val="auto"/>
              </w:rPr>
            </w:pPr>
          </w:p>
        </w:tc>
      </w:tr>
      <w:tr>
        <w:trPr>
          <w:trHeight w:val="245"/>
        </w:trPr>
        <w:tc>
          <w:tcPr>
            <w:tcW w:w="4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87,500</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r>
      <w:tr>
        <w:trPr>
          <w:trHeight w:val="244"/>
        </w:trPr>
        <w:tc>
          <w:tcPr>
            <w:tcW w:w="466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00" w:type="dxa"/>
            <w:vAlign w:val="bottom"/>
            <w:shd w:val="clear" w:color="auto" w:fill="E7E7E7"/>
          </w:tcPr>
          <w:p>
            <w:pPr>
              <w:spacing w:after="0"/>
              <w:rPr>
                <w:sz w:val="21"/>
                <w:szCs w:val="21"/>
                <w:color w:val="auto"/>
              </w:rPr>
            </w:pPr>
          </w:p>
        </w:tc>
        <w:tc>
          <w:tcPr>
            <w:tcW w:w="9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(21,533</w:t>
            </w:r>
          </w:p>
        </w:tc>
        <w:tc>
          <w:tcPr>
            <w:tcW w:w="9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3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86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shd w:val="clear" w:color="auto" w:fill="E7E7E7"/>
          </w:tcPr>
          <w:p>
            <w:pPr>
              <w:spacing w:after="0"/>
              <w:rPr>
                <w:sz w:val="21"/>
                <w:szCs w:val="21"/>
                <w:color w:val="auto"/>
              </w:rPr>
            </w:pPr>
          </w:p>
        </w:tc>
        <w:tc>
          <w:tcPr>
            <w:tcW w:w="9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7E7E7"/>
          </w:tcPr>
          <w:p>
            <w:pPr>
              <w:spacing w:after="0"/>
              <w:rPr>
                <w:sz w:val="21"/>
                <w:szCs w:val="21"/>
                <w:color w:val="auto"/>
              </w:rPr>
            </w:pPr>
          </w:p>
        </w:tc>
        <w:tc>
          <w:tcPr>
            <w:tcW w:w="100" w:type="dxa"/>
            <w:vAlign w:val="bottom"/>
            <w:shd w:val="clear" w:color="auto" w:fill="E7E7E7"/>
          </w:tcPr>
          <w:p>
            <w:pPr>
              <w:spacing w:after="0"/>
              <w:rPr>
                <w:sz w:val="21"/>
                <w:szCs w:val="21"/>
                <w:color w:val="auto"/>
              </w:rPr>
            </w:pPr>
          </w:p>
        </w:tc>
        <w:tc>
          <w:tcPr>
            <w:tcW w:w="86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shd w:val="clear" w:color="auto" w:fill="E7E7E7"/>
          </w:tcPr>
          <w:p>
            <w:pPr>
              <w:spacing w:after="0"/>
              <w:rPr>
                <w:sz w:val="21"/>
                <w:szCs w:val="21"/>
                <w:color w:val="auto"/>
              </w:rPr>
            </w:pPr>
          </w:p>
        </w:tc>
      </w:tr>
      <w:tr>
        <w:trPr>
          <w:trHeight w:val="244"/>
        </w:trPr>
        <w:tc>
          <w:tcPr>
            <w:tcW w:w="4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Forfeited/Canceled</w:t>
            </w:r>
          </w:p>
        </w:tc>
        <w:tc>
          <w:tcPr>
            <w:tcW w:w="117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(59,310 )</w:t>
            </w:r>
          </w:p>
        </w:tc>
        <w:tc>
          <w:tcPr>
            <w:tcW w:w="13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466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Expired</w:t>
            </w:r>
          </w:p>
        </w:tc>
        <w:tc>
          <w:tcPr>
            <w:tcW w:w="100" w:type="dxa"/>
            <w:vAlign w:val="bottom"/>
            <w:shd w:val="clear" w:color="auto" w:fill="E7E7E7"/>
          </w:tcPr>
          <w:p>
            <w:pPr>
              <w:spacing w:after="0"/>
              <w:rPr>
                <w:sz w:val="21"/>
                <w:szCs w:val="21"/>
                <w:color w:val="auto"/>
              </w:rPr>
            </w:pPr>
          </w:p>
        </w:tc>
        <w:tc>
          <w:tcPr>
            <w:tcW w:w="9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(32,128</w:t>
            </w:r>
          </w:p>
        </w:tc>
        <w:tc>
          <w:tcPr>
            <w:tcW w:w="9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3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86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22.50</w:t>
            </w:r>
          </w:p>
        </w:tc>
        <w:tc>
          <w:tcPr>
            <w:tcW w:w="180" w:type="dxa"/>
            <w:vAlign w:val="bottom"/>
            <w:shd w:val="clear" w:color="auto" w:fill="E7E7E7"/>
          </w:tcPr>
          <w:p>
            <w:pPr>
              <w:spacing w:after="0"/>
              <w:rPr>
                <w:sz w:val="21"/>
                <w:szCs w:val="21"/>
                <w:color w:val="auto"/>
              </w:rPr>
            </w:pPr>
          </w:p>
        </w:tc>
        <w:tc>
          <w:tcPr>
            <w:tcW w:w="9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7E7E7"/>
          </w:tcPr>
          <w:p>
            <w:pPr>
              <w:spacing w:after="0"/>
              <w:rPr>
                <w:sz w:val="21"/>
                <w:szCs w:val="21"/>
                <w:color w:val="auto"/>
              </w:rPr>
            </w:pPr>
          </w:p>
        </w:tc>
        <w:tc>
          <w:tcPr>
            <w:tcW w:w="100" w:type="dxa"/>
            <w:vAlign w:val="bottom"/>
            <w:tcBorders>
              <w:bottom w:val="single" w:sz="8" w:color="auto"/>
            </w:tcBorders>
            <w:shd w:val="clear" w:color="auto" w:fill="E7E7E7"/>
          </w:tcPr>
          <w:p>
            <w:pPr>
              <w:spacing w:after="0"/>
              <w:rPr>
                <w:sz w:val="21"/>
                <w:szCs w:val="21"/>
                <w:color w:val="auto"/>
              </w:rPr>
            </w:pPr>
          </w:p>
        </w:tc>
        <w:tc>
          <w:tcPr>
            <w:tcW w:w="86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7E7E7"/>
          </w:tcPr>
          <w:p>
            <w:pPr>
              <w:spacing w:after="0"/>
              <w:rPr>
                <w:sz w:val="21"/>
                <w:szCs w:val="21"/>
                <w:color w:val="auto"/>
              </w:rPr>
            </w:pPr>
          </w:p>
        </w:tc>
      </w:tr>
      <w:tr>
        <w:trPr>
          <w:trHeight w:val="273"/>
        </w:trPr>
        <w:tc>
          <w:tcPr>
            <w:tcW w:w="466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Outstanding at December 31, 2025</w:t>
            </w:r>
          </w:p>
        </w:tc>
        <w:tc>
          <w:tcPr>
            <w:tcW w:w="100" w:type="dxa"/>
            <w:vAlign w:val="bottom"/>
            <w:tcBorders>
              <w:bottom w:val="single" w:sz="8" w:color="E7E7E7"/>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3,143,997</w:t>
            </w:r>
          </w:p>
        </w:tc>
        <w:tc>
          <w:tcPr>
            <w:tcW w:w="90" w:type="dxa"/>
            <w:vAlign w:val="bottom"/>
            <w:tcBorders>
              <w:bottom w:val="single" w:sz="8" w:color="E7E7E7"/>
            </w:tcBorders>
          </w:tcPr>
          <w:p>
            <w:pPr>
              <w:spacing w:after="0"/>
              <w:rPr>
                <w:sz w:val="23"/>
                <w:szCs w:val="23"/>
                <w:color w:val="auto"/>
              </w:rPr>
            </w:pPr>
          </w:p>
        </w:tc>
        <w:tc>
          <w:tcPr>
            <w:tcW w:w="130" w:type="dxa"/>
            <w:vAlign w:val="bottom"/>
            <w:tcBorders>
              <w:bottom w:val="single" w:sz="8" w:color="E7E7E7"/>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180" w:type="dxa"/>
            <w:vAlign w:val="bottom"/>
            <w:tcBorders>
              <w:bottom w:val="single" w:sz="8" w:color="E7E7E7"/>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tcBorders>
              <w:bottom w:val="single" w:sz="8" w:color="E7E7E7"/>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100" w:type="dxa"/>
            <w:vAlign w:val="bottom"/>
            <w:tcBorders>
              <w:bottom w:val="single" w:sz="8" w:color="E7E7E7"/>
            </w:tcBorders>
          </w:tcPr>
          <w:p>
            <w:pPr>
              <w:spacing w:after="0"/>
              <w:rPr>
                <w:sz w:val="23"/>
                <w:szCs w:val="23"/>
                <w:color w:val="auto"/>
              </w:rPr>
            </w:pPr>
          </w:p>
        </w:tc>
      </w:tr>
      <w:tr>
        <w:trPr>
          <w:trHeight w:val="229"/>
        </w:trPr>
        <w:tc>
          <w:tcPr>
            <w:tcW w:w="466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980" w:type="dxa"/>
            <w:vAlign w:val="bottom"/>
            <w:shd w:val="clear" w:color="auto" w:fill="E7E7E7"/>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13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860" w:type="dxa"/>
            <w:vAlign w:val="bottom"/>
            <w:shd w:val="clear" w:color="auto" w:fill="E7E7E7"/>
          </w:tcPr>
          <w:p>
            <w:pPr>
              <w:spacing w:after="0"/>
              <w:rPr>
                <w:sz w:val="19"/>
                <w:szCs w:val="19"/>
                <w:color w:val="auto"/>
              </w:rPr>
            </w:pPr>
          </w:p>
        </w:tc>
        <w:tc>
          <w:tcPr>
            <w:tcW w:w="180" w:type="dxa"/>
            <w:vAlign w:val="bottom"/>
            <w:shd w:val="clear" w:color="auto" w:fill="E7E7E7"/>
          </w:tcPr>
          <w:p>
            <w:pPr>
              <w:spacing w:after="0"/>
              <w:rPr>
                <w:sz w:val="19"/>
                <w:szCs w:val="19"/>
                <w:color w:val="auto"/>
              </w:rPr>
            </w:pPr>
          </w:p>
        </w:tc>
        <w:tc>
          <w:tcPr>
            <w:tcW w:w="980" w:type="dxa"/>
            <w:vAlign w:val="bottom"/>
            <w:shd w:val="clear" w:color="auto" w:fill="E7E7E7"/>
          </w:tcPr>
          <w:p>
            <w:pPr>
              <w:spacing w:after="0"/>
              <w:rPr>
                <w:sz w:val="19"/>
                <w:szCs w:val="19"/>
                <w:color w:val="auto"/>
              </w:rPr>
            </w:pPr>
          </w:p>
        </w:tc>
        <w:tc>
          <w:tcPr>
            <w:tcW w:w="2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86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Options exercisable at December 31, 2025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2,418,033</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tcPr>
          <w:p>
            <w:pPr>
              <w:spacing w:after="0"/>
              <w:rPr>
                <w:sz w:val="21"/>
                <w:szCs w:val="21"/>
                <w:color w:val="auto"/>
              </w:rPr>
            </w:pPr>
          </w:p>
        </w:tc>
      </w:tr>
      <w:tr>
        <w:trPr>
          <w:trHeight w:val="224"/>
        </w:trPr>
        <w:tc>
          <w:tcPr>
            <w:tcW w:w="4660" w:type="dxa"/>
            <w:vAlign w:val="bottom"/>
            <w:shd w:val="clear" w:color="auto" w:fill="E7E7E7"/>
          </w:tcPr>
          <w:p>
            <w:pPr>
              <w:spacing w:after="0" w:line="224" w:lineRule="exact"/>
              <w:rPr>
                <w:sz w:val="20"/>
                <w:szCs w:val="20"/>
                <w:color w:val="auto"/>
              </w:rPr>
            </w:pPr>
            <w:r>
              <w:rPr>
                <w:rFonts w:ascii="Times New Roman" w:cs="Times New Roman" w:eastAsia="Times New Roman" w:hAnsi="Times New Roman"/>
                <w:sz w:val="20"/>
                <w:szCs w:val="20"/>
                <w:color w:val="auto"/>
              </w:rPr>
              <w:t>Options vested and expected to vest at December 31,</w:t>
            </w:r>
          </w:p>
        </w:tc>
        <w:tc>
          <w:tcPr>
            <w:tcW w:w="100" w:type="dxa"/>
            <w:vAlign w:val="bottom"/>
            <w:shd w:val="clear" w:color="auto" w:fill="E7E7E7"/>
          </w:tcPr>
          <w:p>
            <w:pPr>
              <w:spacing w:after="0"/>
              <w:rPr>
                <w:sz w:val="19"/>
                <w:szCs w:val="19"/>
                <w:color w:val="auto"/>
              </w:rPr>
            </w:pPr>
          </w:p>
        </w:tc>
        <w:tc>
          <w:tcPr>
            <w:tcW w:w="980" w:type="dxa"/>
            <w:vAlign w:val="bottom"/>
            <w:shd w:val="clear" w:color="auto" w:fill="E7E7E7"/>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13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860" w:type="dxa"/>
            <w:vAlign w:val="bottom"/>
            <w:shd w:val="clear" w:color="auto" w:fill="E7E7E7"/>
          </w:tcPr>
          <w:p>
            <w:pPr>
              <w:spacing w:after="0"/>
              <w:rPr>
                <w:sz w:val="19"/>
                <w:szCs w:val="19"/>
                <w:color w:val="auto"/>
              </w:rPr>
            </w:pPr>
          </w:p>
        </w:tc>
        <w:tc>
          <w:tcPr>
            <w:tcW w:w="180" w:type="dxa"/>
            <w:vAlign w:val="bottom"/>
            <w:shd w:val="clear" w:color="auto" w:fill="E7E7E7"/>
          </w:tcPr>
          <w:p>
            <w:pPr>
              <w:spacing w:after="0"/>
              <w:rPr>
                <w:sz w:val="19"/>
                <w:szCs w:val="19"/>
                <w:color w:val="auto"/>
              </w:rPr>
            </w:pPr>
          </w:p>
        </w:tc>
        <w:tc>
          <w:tcPr>
            <w:tcW w:w="980" w:type="dxa"/>
            <w:vAlign w:val="bottom"/>
            <w:shd w:val="clear" w:color="auto" w:fill="E7E7E7"/>
          </w:tcPr>
          <w:p>
            <w:pPr>
              <w:spacing w:after="0"/>
              <w:rPr>
                <w:sz w:val="19"/>
                <w:szCs w:val="19"/>
                <w:color w:val="auto"/>
              </w:rPr>
            </w:pPr>
          </w:p>
        </w:tc>
        <w:tc>
          <w:tcPr>
            <w:tcW w:w="2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86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r>
      <w:tr>
        <w:trPr>
          <w:trHeight w:val="250"/>
        </w:trPr>
        <w:tc>
          <w:tcPr>
            <w:tcW w:w="466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shd w:val="clear" w:color="auto" w:fill="E7E7E7"/>
          </w:tcPr>
          <w:p>
            <w:pPr>
              <w:spacing w:after="0"/>
              <w:rPr>
                <w:sz w:val="21"/>
                <w:szCs w:val="21"/>
                <w:color w:val="auto"/>
              </w:rPr>
            </w:pPr>
          </w:p>
        </w:tc>
        <w:tc>
          <w:tcPr>
            <w:tcW w:w="9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shd w:val="clear" w:color="auto" w:fill="E7E7E7"/>
              </w:rPr>
              <w:t>3,120,459</w:t>
            </w:r>
          </w:p>
        </w:tc>
        <w:tc>
          <w:tcPr>
            <w:tcW w:w="90" w:type="dxa"/>
            <w:vAlign w:val="bottom"/>
            <w:shd w:val="clear" w:color="auto" w:fill="E7E7E7"/>
          </w:tcPr>
          <w:p>
            <w:pPr>
              <w:spacing w:after="0"/>
              <w:rPr>
                <w:sz w:val="21"/>
                <w:szCs w:val="21"/>
                <w:color w:val="auto"/>
              </w:rPr>
            </w:pPr>
          </w:p>
        </w:tc>
        <w:tc>
          <w:tcPr>
            <w:tcW w:w="130" w:type="dxa"/>
            <w:vAlign w:val="bottom"/>
            <w:shd w:val="clear" w:color="auto" w:fill="E7E7E7"/>
          </w:tcPr>
          <w:p>
            <w:pPr>
              <w:spacing w:after="0"/>
              <w:rPr>
                <w:sz w:val="21"/>
                <w:szCs w:val="21"/>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86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180" w:type="dxa"/>
            <w:vAlign w:val="bottom"/>
            <w:shd w:val="clear" w:color="auto" w:fill="E7E7E7"/>
          </w:tcPr>
          <w:p>
            <w:pPr>
              <w:spacing w:after="0"/>
              <w:rPr>
                <w:sz w:val="21"/>
                <w:szCs w:val="21"/>
                <w:color w:val="auto"/>
              </w:rPr>
            </w:pPr>
          </w:p>
        </w:tc>
        <w:tc>
          <w:tcPr>
            <w:tcW w:w="9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shd w:val="clear" w:color="auto" w:fill="E7E7E7"/>
          </w:tcPr>
          <w:p>
            <w:pPr>
              <w:spacing w:after="0"/>
              <w:rPr>
                <w:sz w:val="21"/>
                <w:szCs w:val="21"/>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86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100" w:type="dxa"/>
            <w:vAlign w:val="bottom"/>
            <w:shd w:val="clear" w:color="auto" w:fill="E7E7E7"/>
          </w:tcPr>
          <w:p>
            <w:pPr>
              <w:spacing w:after="0"/>
              <w:rPr>
                <w:sz w:val="21"/>
                <w:szCs w:val="21"/>
                <w:color w:val="auto"/>
              </w:rPr>
            </w:pPr>
          </w:p>
        </w:tc>
      </w:tr>
      <w:tr>
        <w:trPr>
          <w:trHeight w:val="245"/>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Options exercisable at December 31, 2024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2,059,025</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1,524</w:t>
            </w:r>
          </w:p>
        </w:tc>
        <w:tc>
          <w:tcPr>
            <w:tcW w:w="100" w:type="dxa"/>
            <w:vAlign w:val="bottom"/>
          </w:tcPr>
          <w:p>
            <w:pPr>
              <w:spacing w:after="0"/>
              <w:rPr>
                <w:sz w:val="21"/>
                <w:szCs w:val="21"/>
                <w:color w:val="auto"/>
              </w:rPr>
            </w:pPr>
          </w:p>
        </w:tc>
      </w:tr>
      <w:tr>
        <w:trPr>
          <w:trHeight w:val="222"/>
        </w:trPr>
        <w:tc>
          <w:tcPr>
            <w:tcW w:w="4660" w:type="dxa"/>
            <w:vAlign w:val="bottom"/>
            <w:shd w:val="clear" w:color="auto" w:fill="E7E7E7"/>
          </w:tcPr>
          <w:p>
            <w:pPr>
              <w:spacing w:after="0" w:line="223" w:lineRule="exact"/>
              <w:rPr>
                <w:sz w:val="20"/>
                <w:szCs w:val="20"/>
                <w:color w:val="auto"/>
              </w:rPr>
            </w:pPr>
            <w:r>
              <w:rPr>
                <w:rFonts w:ascii="Times New Roman" w:cs="Times New Roman" w:eastAsia="Times New Roman" w:hAnsi="Times New Roman"/>
                <w:sz w:val="20"/>
                <w:szCs w:val="20"/>
                <w:color w:val="auto"/>
              </w:rPr>
              <w:t>Options vested and expected to vest at December 31,</w:t>
            </w:r>
          </w:p>
        </w:tc>
        <w:tc>
          <w:tcPr>
            <w:tcW w:w="100" w:type="dxa"/>
            <w:vAlign w:val="bottom"/>
            <w:shd w:val="clear" w:color="auto" w:fill="E7E7E7"/>
          </w:tcPr>
          <w:p>
            <w:pPr>
              <w:spacing w:after="0"/>
              <w:rPr>
                <w:sz w:val="19"/>
                <w:szCs w:val="19"/>
                <w:color w:val="auto"/>
              </w:rPr>
            </w:pPr>
          </w:p>
        </w:tc>
        <w:tc>
          <w:tcPr>
            <w:tcW w:w="980" w:type="dxa"/>
            <w:vAlign w:val="bottom"/>
            <w:shd w:val="clear" w:color="auto" w:fill="E7E7E7"/>
          </w:tcPr>
          <w:p>
            <w:pPr>
              <w:spacing w:after="0"/>
              <w:rPr>
                <w:sz w:val="19"/>
                <w:szCs w:val="19"/>
                <w:color w:val="auto"/>
              </w:rPr>
            </w:pPr>
          </w:p>
        </w:tc>
        <w:tc>
          <w:tcPr>
            <w:tcW w:w="90" w:type="dxa"/>
            <w:vAlign w:val="bottom"/>
            <w:shd w:val="clear" w:color="auto" w:fill="E7E7E7"/>
          </w:tcPr>
          <w:p>
            <w:pPr>
              <w:spacing w:after="0"/>
              <w:rPr>
                <w:sz w:val="19"/>
                <w:szCs w:val="19"/>
                <w:color w:val="auto"/>
              </w:rPr>
            </w:pPr>
          </w:p>
        </w:tc>
        <w:tc>
          <w:tcPr>
            <w:tcW w:w="13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860" w:type="dxa"/>
            <w:vAlign w:val="bottom"/>
            <w:shd w:val="clear" w:color="auto" w:fill="E7E7E7"/>
          </w:tcPr>
          <w:p>
            <w:pPr>
              <w:spacing w:after="0"/>
              <w:rPr>
                <w:sz w:val="19"/>
                <w:szCs w:val="19"/>
                <w:color w:val="auto"/>
              </w:rPr>
            </w:pPr>
          </w:p>
        </w:tc>
        <w:tc>
          <w:tcPr>
            <w:tcW w:w="180" w:type="dxa"/>
            <w:vAlign w:val="bottom"/>
            <w:shd w:val="clear" w:color="auto" w:fill="E7E7E7"/>
          </w:tcPr>
          <w:p>
            <w:pPr>
              <w:spacing w:after="0"/>
              <w:rPr>
                <w:sz w:val="19"/>
                <w:szCs w:val="19"/>
                <w:color w:val="auto"/>
              </w:rPr>
            </w:pPr>
          </w:p>
        </w:tc>
        <w:tc>
          <w:tcPr>
            <w:tcW w:w="980" w:type="dxa"/>
            <w:vAlign w:val="bottom"/>
            <w:shd w:val="clear" w:color="auto" w:fill="E7E7E7"/>
          </w:tcPr>
          <w:p>
            <w:pPr>
              <w:spacing w:after="0"/>
              <w:rPr>
                <w:sz w:val="19"/>
                <w:szCs w:val="19"/>
                <w:color w:val="auto"/>
              </w:rPr>
            </w:pPr>
          </w:p>
        </w:tc>
        <w:tc>
          <w:tcPr>
            <w:tcW w:w="2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86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r>
      <w:tr>
        <w:trPr>
          <w:trHeight w:val="252"/>
        </w:trPr>
        <w:tc>
          <w:tcPr>
            <w:tcW w:w="466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shd w:val="clear" w:color="auto" w:fill="E7E7E7"/>
          </w:tcPr>
          <w:p>
            <w:pPr>
              <w:spacing w:after="0"/>
              <w:rPr>
                <w:sz w:val="21"/>
                <w:szCs w:val="21"/>
                <w:color w:val="auto"/>
              </w:rPr>
            </w:pPr>
          </w:p>
        </w:tc>
        <w:tc>
          <w:tcPr>
            <w:tcW w:w="9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shd w:val="clear" w:color="auto" w:fill="E7E7E7"/>
              </w:rPr>
              <w:t>3,120,812</w:t>
            </w:r>
          </w:p>
        </w:tc>
        <w:tc>
          <w:tcPr>
            <w:tcW w:w="90" w:type="dxa"/>
            <w:vAlign w:val="bottom"/>
            <w:shd w:val="clear" w:color="auto" w:fill="E7E7E7"/>
          </w:tcPr>
          <w:p>
            <w:pPr>
              <w:spacing w:after="0"/>
              <w:rPr>
                <w:sz w:val="21"/>
                <w:szCs w:val="21"/>
                <w:color w:val="auto"/>
              </w:rPr>
            </w:pPr>
          </w:p>
        </w:tc>
        <w:tc>
          <w:tcPr>
            <w:tcW w:w="130" w:type="dxa"/>
            <w:vAlign w:val="bottom"/>
            <w:shd w:val="clear" w:color="auto" w:fill="E7E7E7"/>
          </w:tcPr>
          <w:p>
            <w:pPr>
              <w:spacing w:after="0"/>
              <w:rPr>
                <w:sz w:val="21"/>
                <w:szCs w:val="21"/>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86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180" w:type="dxa"/>
            <w:vAlign w:val="bottom"/>
            <w:shd w:val="clear" w:color="auto" w:fill="E7E7E7"/>
          </w:tcPr>
          <w:p>
            <w:pPr>
              <w:spacing w:after="0"/>
              <w:rPr>
                <w:sz w:val="21"/>
                <w:szCs w:val="21"/>
                <w:color w:val="auto"/>
              </w:rPr>
            </w:pPr>
          </w:p>
        </w:tc>
        <w:tc>
          <w:tcPr>
            <w:tcW w:w="9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20" w:type="dxa"/>
            <w:vAlign w:val="bottom"/>
            <w:shd w:val="clear" w:color="auto" w:fill="E7E7E7"/>
          </w:tcPr>
          <w:p>
            <w:pPr>
              <w:spacing w:after="0"/>
              <w:rPr>
                <w:sz w:val="21"/>
                <w:szCs w:val="21"/>
                <w:color w:val="auto"/>
              </w:rPr>
            </w:pPr>
          </w:p>
        </w:tc>
        <w:tc>
          <w:tcPr>
            <w:tcW w:w="1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86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00" w:type="dxa"/>
            <w:vAlign w:val="bottom"/>
            <w:shd w:val="clear" w:color="auto" w:fill="E7E7E7"/>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-1871345</wp:posOffset>
                </wp:positionV>
                <wp:extent cx="59436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3499pt" to="468pt,-147.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-450850</wp:posOffset>
                </wp:positionV>
                <wp:extent cx="59436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4999pt" to="468pt,-35.4999pt" o:allowincell="f" strokecolor="#FFFFFF" strokeweight="0.7199pt"/>
            </w:pict>
          </mc:Fallback>
        </mc:AlternateContent>
      </w:r>
    </w:p>
    <w:p>
      <w:pPr>
        <w:spacing w:after="0" w:line="7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weighted average grant-date fair value of stock options granted during the year ended December 31, 2025 was $1.26. The weighted average grant-date fair value of stock options granted during the year ended December 31, 2024 was $2.46. The aggregate fair value of stock options that vested during the year ended December 31, 2025 and 2024, was $1,025 and $1,520, respectively.</w:t>
      </w:r>
    </w:p>
    <w:p>
      <w:pPr>
        <w:spacing w:after="0" w:line="11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 ended December 31, 2025 and 2024 was $18 and $354,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57"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Company has granted restricted stock units with service-based vesting conditions. Unvested shares of restricted common stock may not be sold or transferred by the holder.</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 summary of the restricted stock unit activity during the year ended December 31, 2025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184"/>
        </w:trPr>
        <w:tc>
          <w:tcPr>
            <w:tcW w:w="623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3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Restricted Stock</w:t>
            </w:r>
          </w:p>
        </w:tc>
        <w:tc>
          <w:tcPr>
            <w:tcW w:w="15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Grant-Date Fair</w:t>
            </w:r>
          </w:p>
        </w:tc>
      </w:tr>
      <w:tr>
        <w:trPr>
          <w:trHeight w:val="224"/>
        </w:trPr>
        <w:tc>
          <w:tcPr>
            <w:tcW w:w="623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3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 $</w:t>
            </w:r>
          </w:p>
        </w:tc>
      </w:tr>
      <w:tr>
        <w:trPr>
          <w:trHeight w:val="213"/>
        </w:trPr>
        <w:tc>
          <w:tcPr>
            <w:tcW w:w="6230" w:type="dxa"/>
            <w:vAlign w:val="bottom"/>
            <w:tcBorders>
              <w:top w:val="single" w:sz="8" w:color="E7E7E7"/>
            </w:tcBorders>
            <w:shd w:val="clear" w:color="auto" w:fill="E7E7E7"/>
          </w:tcPr>
          <w:p>
            <w:pPr>
              <w:spacing w:after="0" w:line="213" w:lineRule="exact"/>
              <w:rPr>
                <w:sz w:val="20"/>
                <w:szCs w:val="20"/>
                <w:color w:val="auto"/>
              </w:rPr>
            </w:pPr>
            <w:r>
              <w:rPr>
                <w:rFonts w:ascii="Times New Roman" w:cs="Times New Roman" w:eastAsia="Times New Roman" w:hAnsi="Times New Roman"/>
                <w:sz w:val="20"/>
                <w:szCs w:val="20"/>
                <w:color w:val="auto"/>
              </w:rPr>
              <w:t>Unvested - January 1, 2025</w:t>
            </w:r>
          </w:p>
        </w:tc>
        <w:tc>
          <w:tcPr>
            <w:tcW w:w="11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00" w:type="dxa"/>
            <w:vAlign w:val="bottom"/>
            <w:tcBorders>
              <w:top w:val="single" w:sz="8" w:color="auto"/>
            </w:tcBorders>
            <w:shd w:val="clear" w:color="auto" w:fill="E7E7E7"/>
          </w:tcPr>
          <w:p>
            <w:pPr>
              <w:spacing w:after="0"/>
              <w:rPr>
                <w:sz w:val="18"/>
                <w:szCs w:val="18"/>
                <w:color w:val="auto"/>
              </w:rPr>
            </w:pPr>
          </w:p>
        </w:tc>
        <w:tc>
          <w:tcPr>
            <w:tcW w:w="124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top w:val="single" w:sz="8" w:color="E7E7E7"/>
            </w:tcBorders>
            <w:shd w:val="clear" w:color="auto" w:fill="E7E7E7"/>
          </w:tcPr>
          <w:p>
            <w:pPr>
              <w:spacing w:after="0"/>
              <w:rPr>
                <w:sz w:val="18"/>
                <w:szCs w:val="18"/>
                <w:color w:val="auto"/>
              </w:rPr>
            </w:pPr>
          </w:p>
        </w:tc>
        <w:tc>
          <w:tcPr>
            <w:tcW w:w="15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tcBorders>
            <w:shd w:val="clear" w:color="auto" w:fill="E7E7E7"/>
          </w:tcPr>
          <w:p>
            <w:pPr>
              <w:spacing w:after="0"/>
              <w:rPr>
                <w:sz w:val="18"/>
                <w:szCs w:val="18"/>
                <w:color w:val="auto"/>
              </w:rPr>
            </w:pPr>
          </w:p>
        </w:tc>
        <w:tc>
          <w:tcPr>
            <w:tcW w:w="100" w:type="dxa"/>
            <w:vAlign w:val="bottom"/>
            <w:tcBorders>
              <w:top w:val="single" w:sz="8" w:color="auto"/>
            </w:tcBorders>
            <w:shd w:val="clear" w:color="auto" w:fill="E7E7E7"/>
          </w:tcPr>
          <w:p>
            <w:pPr>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00" w:type="dxa"/>
            <w:vAlign w:val="bottom"/>
            <w:tcBorders>
              <w:top w:val="single" w:sz="8" w:color="auto"/>
            </w:tcBorders>
            <w:shd w:val="clear" w:color="auto" w:fill="E7E7E7"/>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7E7E7"/>
            </w:tcBorders>
            <w:shd w:val="clear" w:color="auto" w:fill="E7E7E7"/>
          </w:tcPr>
          <w:p>
            <w:pPr>
              <w:spacing w:after="0"/>
              <w:rPr>
                <w:sz w:val="18"/>
                <w:szCs w:val="18"/>
                <w:color w:val="auto"/>
              </w:rPr>
            </w:pPr>
          </w:p>
        </w:tc>
      </w:tr>
      <w:tr>
        <w:trPr>
          <w:trHeight w:val="244"/>
        </w:trPr>
        <w:tc>
          <w:tcPr>
            <w:tcW w:w="6230" w:type="dxa"/>
            <w:vAlign w:val="bottom"/>
            <w:tcBorders>
              <w:bottom w:val="single" w:sz="8" w:color="E7E7E7"/>
            </w:tcBorders>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124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90" w:type="dxa"/>
            <w:vAlign w:val="bottom"/>
            <w:tcBorders>
              <w:bottom w:val="single" w:sz="8" w:color="E7E7E7"/>
            </w:tcBorders>
          </w:tcPr>
          <w:p>
            <w:pPr>
              <w:spacing w:after="0"/>
              <w:rPr>
                <w:sz w:val="21"/>
                <w:szCs w:val="21"/>
                <w:color w:val="auto"/>
              </w:rPr>
            </w:pPr>
          </w:p>
        </w:tc>
        <w:tc>
          <w:tcPr>
            <w:tcW w:w="15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120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00" w:type="dxa"/>
            <w:vAlign w:val="bottom"/>
            <w:tcBorders>
              <w:bottom w:val="single" w:sz="8" w:color="E7E7E7"/>
            </w:tcBorders>
          </w:tcPr>
          <w:p>
            <w:pPr>
              <w:spacing w:after="0"/>
              <w:rPr>
                <w:sz w:val="21"/>
                <w:szCs w:val="21"/>
                <w:color w:val="auto"/>
              </w:rPr>
            </w:pPr>
          </w:p>
        </w:tc>
      </w:tr>
      <w:tr>
        <w:trPr>
          <w:trHeight w:val="225"/>
        </w:trPr>
        <w:tc>
          <w:tcPr>
            <w:tcW w:w="6230" w:type="dxa"/>
            <w:vAlign w:val="bottom"/>
            <w:tcBorders>
              <w:bottom w:val="single" w:sz="8" w:color="E7E7E7"/>
            </w:tcBorders>
            <w:shd w:val="clear" w:color="auto" w:fill="E7E7E7"/>
          </w:tcPr>
          <w:p>
            <w:pPr>
              <w:ind w:left="200"/>
              <w:spacing w:after="0" w:line="225" w:lineRule="exact"/>
              <w:rPr>
                <w:sz w:val="20"/>
                <w:szCs w:val="20"/>
                <w:color w:val="auto"/>
              </w:rPr>
            </w:pPr>
            <w:r>
              <w:rPr>
                <w:rFonts w:ascii="Times New Roman" w:cs="Times New Roman" w:eastAsia="Times New Roman" w:hAnsi="Times New Roman"/>
                <w:sz w:val="20"/>
                <w:szCs w:val="20"/>
                <w:color w:val="auto"/>
              </w:rPr>
              <w:t>Vested</w:t>
            </w:r>
          </w:p>
        </w:tc>
        <w:tc>
          <w:tcPr>
            <w:tcW w:w="110" w:type="dxa"/>
            <w:vAlign w:val="bottom"/>
            <w:tcBorders>
              <w:bottom w:val="single" w:sz="8" w:color="E7E7E7"/>
            </w:tcBorders>
            <w:shd w:val="clear" w:color="auto" w:fill="E7E7E7"/>
          </w:tcPr>
          <w:p>
            <w:pPr>
              <w:spacing w:after="0"/>
              <w:rPr>
                <w:sz w:val="19"/>
                <w:szCs w:val="19"/>
                <w:color w:val="auto"/>
              </w:rPr>
            </w:pPr>
          </w:p>
        </w:tc>
        <w:tc>
          <w:tcPr>
            <w:tcW w:w="20" w:type="dxa"/>
            <w:vAlign w:val="bottom"/>
            <w:tcBorders>
              <w:bottom w:val="single" w:sz="8" w:color="E7E7E7"/>
            </w:tcBorders>
            <w:shd w:val="clear" w:color="auto" w:fill="E7E7E7"/>
          </w:tcPr>
          <w:p>
            <w:pPr>
              <w:spacing w:after="0"/>
              <w:rPr>
                <w:sz w:val="19"/>
                <w:szCs w:val="19"/>
                <w:color w:val="auto"/>
              </w:rPr>
            </w:pPr>
          </w:p>
        </w:tc>
        <w:tc>
          <w:tcPr>
            <w:tcW w:w="100" w:type="dxa"/>
            <w:vAlign w:val="bottom"/>
            <w:tcBorders>
              <w:bottom w:val="single" w:sz="8" w:color="auto"/>
            </w:tcBorders>
            <w:shd w:val="clear" w:color="auto" w:fill="E7E7E7"/>
          </w:tcPr>
          <w:p>
            <w:pPr>
              <w:spacing w:after="0"/>
              <w:rPr>
                <w:sz w:val="19"/>
                <w:szCs w:val="19"/>
                <w:color w:val="auto"/>
              </w:rPr>
            </w:pPr>
          </w:p>
        </w:tc>
        <w:tc>
          <w:tcPr>
            <w:tcW w:w="12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(1,000,000</w:t>
            </w:r>
          </w:p>
        </w:tc>
        <w:tc>
          <w:tcPr>
            <w:tcW w:w="90" w:type="dxa"/>
            <w:vAlign w:val="bottom"/>
            <w:tcBorders>
              <w:bottom w:val="single" w:sz="8" w:color="E7E7E7"/>
            </w:tcBorders>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150" w:type="dxa"/>
            <w:vAlign w:val="bottom"/>
            <w:tcBorders>
              <w:bottom w:val="single" w:sz="8" w:color="E7E7E7"/>
            </w:tcBorders>
            <w:shd w:val="clear" w:color="auto" w:fill="E7E7E7"/>
          </w:tcPr>
          <w:p>
            <w:pPr>
              <w:spacing w:after="0"/>
              <w:rPr>
                <w:sz w:val="19"/>
                <w:szCs w:val="19"/>
                <w:color w:val="auto"/>
              </w:rPr>
            </w:pPr>
          </w:p>
        </w:tc>
        <w:tc>
          <w:tcPr>
            <w:tcW w:w="20" w:type="dxa"/>
            <w:vAlign w:val="bottom"/>
            <w:tcBorders>
              <w:bottom w:val="single" w:sz="8" w:color="E7E7E7"/>
            </w:tcBorders>
            <w:shd w:val="clear" w:color="auto" w:fill="E7E7E7"/>
          </w:tcPr>
          <w:p>
            <w:pPr>
              <w:spacing w:after="0"/>
              <w:rPr>
                <w:sz w:val="19"/>
                <w:szCs w:val="19"/>
                <w:color w:val="auto"/>
              </w:rPr>
            </w:pPr>
          </w:p>
        </w:tc>
        <w:tc>
          <w:tcPr>
            <w:tcW w:w="100" w:type="dxa"/>
            <w:vAlign w:val="bottom"/>
            <w:tcBorders>
              <w:bottom w:val="single" w:sz="8" w:color="auto"/>
            </w:tcBorders>
            <w:shd w:val="clear" w:color="auto" w:fill="E7E7E7"/>
          </w:tcPr>
          <w:p>
            <w:pPr>
              <w:spacing w:after="0"/>
              <w:rPr>
                <w:sz w:val="19"/>
                <w:szCs w:val="19"/>
                <w:color w:val="auto"/>
              </w:rPr>
            </w:pPr>
          </w:p>
        </w:tc>
        <w:tc>
          <w:tcPr>
            <w:tcW w:w="1200" w:type="dxa"/>
            <w:vAlign w:val="bottom"/>
            <w:tcBorders>
              <w:bottom w:val="single" w:sz="8" w:color="auto"/>
            </w:tcBorders>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1.19</w:t>
            </w:r>
          </w:p>
        </w:tc>
        <w:tc>
          <w:tcPr>
            <w:tcW w:w="100" w:type="dxa"/>
            <w:vAlign w:val="bottom"/>
            <w:tcBorders>
              <w:bottom w:val="single" w:sz="8" w:color="E7E7E7"/>
            </w:tcBorders>
            <w:shd w:val="clear" w:color="auto" w:fill="E7E7E7"/>
          </w:tcPr>
          <w:p>
            <w:pPr>
              <w:spacing w:after="0"/>
              <w:rPr>
                <w:sz w:val="19"/>
                <w:szCs w:val="19"/>
                <w:color w:val="auto"/>
              </w:rPr>
            </w:pPr>
          </w:p>
        </w:tc>
      </w:tr>
      <w:tr>
        <w:trPr>
          <w:trHeight w:val="235"/>
        </w:trPr>
        <w:tc>
          <w:tcPr>
            <w:tcW w:w="6230" w:type="dxa"/>
            <w:vAlign w:val="bottom"/>
          </w:tcPr>
          <w:p>
            <w:pPr>
              <w:spacing w:after="0"/>
              <w:rPr>
                <w:sz w:val="20"/>
                <w:szCs w:val="20"/>
                <w:color w:val="auto"/>
              </w:rPr>
            </w:pPr>
            <w:r>
              <w:rPr>
                <w:rFonts w:ascii="Times New Roman" w:cs="Times New Roman" w:eastAsia="Times New Roman" w:hAnsi="Times New Roman"/>
                <w:sz w:val="20"/>
                <w:szCs w:val="20"/>
                <w:color w:val="auto"/>
              </w:rPr>
              <w:t>Unvested - December 31, 2025</w:t>
            </w:r>
          </w:p>
        </w:tc>
        <w:tc>
          <w:tcPr>
            <w:tcW w:w="11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r>
      <w:tr>
        <w:trPr>
          <w:trHeight w:val="20"/>
        </w:trPr>
        <w:tc>
          <w:tcPr>
            <w:tcW w:w="623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-666750</wp:posOffset>
            </wp:positionV>
            <wp:extent cx="5943600" cy="651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extLst>
                    </a:blip>
                    <a:srcRect/>
                    <a:stretch>
                      <a:fillRect/>
                    </a:stretch>
                  </pic:blipFill>
                  <pic:spPr bwMode="auto">
                    <a:xfrm>
                      <a:off x="0" y="0"/>
                      <a:ext cx="5943600" cy="651510"/>
                    </a:xfrm>
                    <a:prstGeom prst="rect">
                      <a:avLst/>
                    </a:prstGeom>
                    <a:noFill/>
                  </pic:spPr>
                </pic:pic>
              </a:graphicData>
            </a:graphic>
          </wp:anchor>
        </w:drawing>
      </w:r>
    </w:p>
    <w:p>
      <w:pPr>
        <w:spacing w:after="0" w:line="79"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fair value of these vested restricted stock units was $1,194 at the grant date and all of the compensation expense was recognized in the year ended December 31, 2025.</w:t>
      </w:r>
    </w:p>
    <w:p>
      <w:pPr>
        <w:spacing w:after="0" w:line="83"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On October 30, 2025, and December 2, 2025, the Company issued 300,000 and 280,000 shares of common stock for the restricted stock units granted and vested in August 2025, respectively. As of December 31, 2025, there were 420,000 vested restricted stock units that were not issued.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18"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The Company recorded stock-based compensation expense related to stock options and restricted stock units in the following expense categories of its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F-28</w:t>
      </w:r>
    </w:p>
    <w:p>
      <w:pPr>
        <w:sectPr>
          <w:pgSz w:w="12240" w:h="15840" w:orient="portrait"/>
          <w:cols w:equalWidth="0" w:num="1">
            <w:col w:w="9360"/>
          </w:cols>
          <w:pgMar w:left="1440" w:top="1420" w:right="1440" w:bottom="177" w:gutter="0" w:footer="0" w:header="0"/>
        </w:sectPr>
      </w:pPr>
    </w:p>
    <w:bookmarkStart w:id="136" w:name="page137"/>
    <w:bookmarkEnd w:id="136"/>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227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3"/>
        </w:trPr>
        <w:tc>
          <w:tcPr>
            <w:tcW w:w="6380" w:type="dxa"/>
            <w:vAlign w:val="bottom"/>
            <w:tcBorders>
              <w:top w:val="single" w:sz="8" w:color="E7E7E7"/>
            </w:tcBorders>
            <w:shd w:val="clear" w:color="auto" w:fill="E7E7E7"/>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20" w:type="dxa"/>
            <w:vAlign w:val="bottom"/>
            <w:tcBorders>
              <w:top w:val="single" w:sz="8" w:color="E7E7E7"/>
            </w:tcBorders>
            <w:shd w:val="clear" w:color="auto" w:fill="E7E7E7"/>
          </w:tcPr>
          <w:p>
            <w:pPr>
              <w:spacing w:after="0"/>
              <w:rPr>
                <w:sz w:val="20"/>
                <w:szCs w:val="20"/>
                <w:color w:val="auto"/>
              </w:rPr>
            </w:pPr>
          </w:p>
        </w:tc>
        <w:tc>
          <w:tcPr>
            <w:tcW w:w="11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710" w:type="dxa"/>
            <w:vAlign w:val="bottom"/>
            <w:tcBorders>
              <w:top w:val="single" w:sz="8" w:color="auto"/>
            </w:tcBorders>
            <w:shd w:val="clear" w:color="auto" w:fill="E7E7E7"/>
          </w:tcPr>
          <w:p>
            <w:pPr>
              <w:spacing w:after="0"/>
              <w:rPr>
                <w:sz w:val="20"/>
                <w:szCs w:val="20"/>
                <w:color w:val="auto"/>
              </w:rPr>
            </w:pPr>
          </w:p>
        </w:tc>
        <w:tc>
          <w:tcPr>
            <w:tcW w:w="48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240" w:type="dxa"/>
            <w:vAlign w:val="bottom"/>
            <w:tcBorders>
              <w:top w:val="single" w:sz="8" w:color="E7E7E7"/>
            </w:tcBorders>
            <w:shd w:val="clear" w:color="auto" w:fill="E7E7E7"/>
          </w:tcPr>
          <w:p>
            <w:pPr>
              <w:spacing w:after="0"/>
              <w:rPr>
                <w:sz w:val="20"/>
                <w:szCs w:val="20"/>
                <w:color w:val="auto"/>
              </w:rPr>
            </w:pPr>
          </w:p>
        </w:tc>
        <w:tc>
          <w:tcPr>
            <w:tcW w:w="20" w:type="dxa"/>
            <w:vAlign w:val="bottom"/>
            <w:tcBorders>
              <w:top w:val="single" w:sz="8" w:color="E7E7E7"/>
            </w:tcBorders>
            <w:shd w:val="clear" w:color="auto" w:fill="E7E7E7"/>
          </w:tcPr>
          <w:p>
            <w:pPr>
              <w:spacing w:after="0"/>
              <w:rPr>
                <w:sz w:val="20"/>
                <w:szCs w:val="20"/>
                <w:color w:val="auto"/>
              </w:rPr>
            </w:pPr>
          </w:p>
        </w:tc>
        <w:tc>
          <w:tcPr>
            <w:tcW w:w="820" w:type="dxa"/>
            <w:vAlign w:val="bottom"/>
            <w:tcBorders>
              <w:top w:val="single" w:sz="8" w:color="auto"/>
            </w:tcBorders>
            <w:shd w:val="clear" w:color="auto" w:fill="E7E7E7"/>
          </w:tcPr>
          <w:p>
            <w:pPr>
              <w:jc w:val="right"/>
              <w:ind w:right="620"/>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50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80" w:type="dxa"/>
            <w:vAlign w:val="bottom"/>
            <w:tcBorders>
              <w:top w:val="single" w:sz="8" w:color="E7E7E7"/>
            </w:tcBorders>
            <w:shd w:val="clear" w:color="auto" w:fill="E7E7E7"/>
          </w:tcPr>
          <w:p>
            <w:pPr>
              <w:spacing w:after="0"/>
              <w:rPr>
                <w:sz w:val="20"/>
                <w:szCs w:val="20"/>
                <w:color w:val="auto"/>
              </w:rPr>
            </w:pPr>
          </w:p>
        </w:tc>
      </w:tr>
      <w:tr>
        <w:trPr>
          <w:trHeight w:val="245"/>
        </w:trPr>
        <w:tc>
          <w:tcPr>
            <w:tcW w:w="638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0" w:type="dxa"/>
            <w:vAlign w:val="bottom"/>
            <w:tcBorders>
              <w:bottom w:val="single" w:sz="8" w:color="E7E7E7"/>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71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2,037</w:t>
            </w:r>
          </w:p>
        </w:tc>
        <w:tc>
          <w:tcPr>
            <w:tcW w:w="24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80" w:type="dxa"/>
            <w:vAlign w:val="bottom"/>
            <w:tcBorders>
              <w:bottom w:val="single" w:sz="8" w:color="E7E7E7"/>
            </w:tcBorders>
          </w:tcPr>
          <w:p>
            <w:pPr>
              <w:spacing w:after="0"/>
              <w:rPr>
                <w:sz w:val="21"/>
                <w:szCs w:val="21"/>
                <w:color w:val="auto"/>
              </w:rPr>
            </w:pPr>
          </w:p>
        </w:tc>
      </w:tr>
      <w:tr>
        <w:trPr>
          <w:trHeight w:val="235"/>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20" w:type="dxa"/>
            <w:vAlign w:val="bottom"/>
            <w:tcBorders>
              <w:bottom w:val="single" w:sz="8" w:color="auto"/>
            </w:tcBorders>
            <w:shd w:val="clear" w:color="auto" w:fill="E7E7E7"/>
          </w:tcPr>
          <w:p>
            <w:pPr>
              <w:spacing w:after="0"/>
              <w:rPr>
                <w:sz w:val="20"/>
                <w:szCs w:val="20"/>
                <w:color w:val="auto"/>
              </w:rPr>
            </w:pPr>
          </w:p>
        </w:tc>
        <w:tc>
          <w:tcPr>
            <w:tcW w:w="11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710" w:type="dxa"/>
            <w:vAlign w:val="bottom"/>
            <w:tcBorders>
              <w:bottom w:val="single" w:sz="8" w:color="auto"/>
            </w:tcBorders>
            <w:shd w:val="clear" w:color="auto" w:fill="E7E7E7"/>
          </w:tcPr>
          <w:p>
            <w:pPr>
              <w:spacing w:after="0"/>
              <w:rPr>
                <w:sz w:val="20"/>
                <w:szCs w:val="20"/>
                <w:color w:val="auto"/>
              </w:rPr>
            </w:pPr>
          </w:p>
        </w:tc>
        <w:tc>
          <w:tcPr>
            <w:tcW w:w="4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2,224</w:t>
            </w:r>
          </w:p>
        </w:tc>
        <w:tc>
          <w:tcPr>
            <w:tcW w:w="240" w:type="dxa"/>
            <w:vAlign w:val="bottom"/>
            <w:shd w:val="clear" w:color="auto" w:fill="E7E7E7"/>
          </w:tcPr>
          <w:p>
            <w:pPr>
              <w:spacing w:after="0"/>
              <w:rPr>
                <w:sz w:val="20"/>
                <w:szCs w:val="20"/>
                <w:color w:val="auto"/>
              </w:rPr>
            </w:pPr>
          </w:p>
        </w:tc>
        <w:tc>
          <w:tcPr>
            <w:tcW w:w="20" w:type="dxa"/>
            <w:vAlign w:val="bottom"/>
            <w:tcBorders>
              <w:bottom w:val="single" w:sz="8" w:color="auto"/>
            </w:tcBorders>
            <w:shd w:val="clear" w:color="auto" w:fill="E7E7E7"/>
          </w:tcPr>
          <w:p>
            <w:pPr>
              <w:spacing w:after="0"/>
              <w:rPr>
                <w:sz w:val="20"/>
                <w:szCs w:val="20"/>
                <w:color w:val="auto"/>
              </w:rPr>
            </w:pPr>
          </w:p>
        </w:tc>
        <w:tc>
          <w:tcPr>
            <w:tcW w:w="820" w:type="dxa"/>
            <w:vAlign w:val="bottom"/>
            <w:tcBorders>
              <w:bottom w:val="single" w:sz="8" w:color="auto"/>
            </w:tcBorders>
            <w:shd w:val="clear" w:color="auto" w:fill="E7E7E7"/>
          </w:tcPr>
          <w:p>
            <w:pPr>
              <w:jc w:val="right"/>
              <w:ind w:right="620"/>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5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1,117</w:t>
            </w:r>
          </w:p>
        </w:tc>
        <w:tc>
          <w:tcPr>
            <w:tcW w:w="80" w:type="dxa"/>
            <w:vAlign w:val="bottom"/>
            <w:shd w:val="clear" w:color="auto" w:fill="E7E7E7"/>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199pt"/>
            </w:pict>
          </mc:Fallback>
        </mc:AlternateContent>
      </w:r>
    </w:p>
    <w:p>
      <w:pPr>
        <w:spacing w:after="0" w:line="79"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As of December 31, 2025, the Company had an aggregate of $1,475 of unrecognized stock-based compensation expense, which it expects to recognize over a weighted average period of 2.77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Net Loss per Share</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Basic and diluted net loss per share attributable to common stockholders was calculated as follows</w:t>
      </w:r>
      <w:r>
        <w:rPr>
          <w:rFonts w:ascii="Times New Roman" w:cs="Times New Roman" w:eastAsia="Times New Roman" w:hAnsi="Times New Roman"/>
          <w:sz w:val="20"/>
          <w:szCs w:val="20"/>
          <w:b w:val="1"/>
          <w:bCs w:val="1"/>
          <w:color w:val="auto"/>
        </w:rPr>
        <w:t>:</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5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3"/>
        </w:trPr>
        <w:tc>
          <w:tcPr>
            <w:tcW w:w="5760" w:type="dxa"/>
            <w:vAlign w:val="bottom"/>
            <w:tcBorders>
              <w:bottom w:val="single" w:sz="8" w:color="E7E7E7"/>
            </w:tcBorders>
          </w:tcPr>
          <w:p>
            <w:pPr>
              <w:spacing w:after="0"/>
              <w:rPr>
                <w:sz w:val="15"/>
                <w:szCs w:val="15"/>
                <w:color w:val="auto"/>
              </w:rPr>
            </w:pPr>
          </w:p>
        </w:tc>
        <w:tc>
          <w:tcPr>
            <w:tcW w:w="20" w:type="dxa"/>
            <w:vAlign w:val="bottom"/>
            <w:tcBorders>
              <w:bottom w:val="single" w:sz="8" w:color="E7E7E7"/>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8"/>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E7E7E7"/>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5"/>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7E7E7"/>
            </w:tcBorders>
          </w:tcPr>
          <w:p>
            <w:pPr>
              <w:spacing w:after="0"/>
              <w:rPr>
                <w:sz w:val="15"/>
                <w:szCs w:val="15"/>
                <w:color w:val="auto"/>
              </w:rPr>
            </w:pPr>
          </w:p>
        </w:tc>
      </w:tr>
      <w:tr>
        <w:trPr>
          <w:trHeight w:val="220"/>
        </w:trPr>
        <w:tc>
          <w:tcPr>
            <w:tcW w:w="5780" w:type="dxa"/>
            <w:vAlign w:val="bottom"/>
            <w:gridSpan w:val="2"/>
            <w:shd w:val="clear" w:color="auto" w:fill="E7E7E7"/>
          </w:tcPr>
          <w:p>
            <w:pPr>
              <w:spacing w:after="0" w:line="220" w:lineRule="exact"/>
              <w:rPr>
                <w:sz w:val="20"/>
                <w:szCs w:val="20"/>
                <w:color w:val="auto"/>
              </w:rPr>
            </w:pPr>
            <w:r>
              <w:rPr>
                <w:rFonts w:ascii="Times New Roman" w:cs="Times New Roman" w:eastAsia="Times New Roman" w:hAnsi="Times New Roman"/>
                <w:sz w:val="20"/>
                <w:szCs w:val="20"/>
                <w:color w:val="auto"/>
              </w:rPr>
              <w:t>Numerator:</w:t>
            </w:r>
          </w:p>
        </w:tc>
        <w:tc>
          <w:tcPr>
            <w:tcW w:w="180" w:type="dxa"/>
            <w:vAlign w:val="bottom"/>
            <w:shd w:val="clear" w:color="auto" w:fill="E7E7E7"/>
          </w:tcPr>
          <w:p>
            <w:pPr>
              <w:spacing w:after="0"/>
              <w:rPr>
                <w:sz w:val="19"/>
                <w:szCs w:val="19"/>
                <w:color w:val="auto"/>
              </w:rPr>
            </w:pPr>
          </w:p>
        </w:tc>
        <w:tc>
          <w:tcPr>
            <w:tcW w:w="980" w:type="dxa"/>
            <w:vAlign w:val="bottom"/>
            <w:shd w:val="clear" w:color="auto" w:fill="E7E7E7"/>
          </w:tcPr>
          <w:p>
            <w:pPr>
              <w:spacing w:after="0"/>
              <w:rPr>
                <w:sz w:val="19"/>
                <w:szCs w:val="19"/>
                <w:color w:val="auto"/>
              </w:rPr>
            </w:pPr>
          </w:p>
        </w:tc>
        <w:tc>
          <w:tcPr>
            <w:tcW w:w="220" w:type="dxa"/>
            <w:vAlign w:val="bottom"/>
            <w:shd w:val="clear" w:color="auto" w:fill="E7E7E7"/>
          </w:tcPr>
          <w:p>
            <w:pPr>
              <w:spacing w:after="0"/>
              <w:rPr>
                <w:sz w:val="19"/>
                <w:szCs w:val="19"/>
                <w:color w:val="auto"/>
              </w:rPr>
            </w:pPr>
          </w:p>
        </w:tc>
        <w:tc>
          <w:tcPr>
            <w:tcW w:w="200" w:type="dxa"/>
            <w:vAlign w:val="bottom"/>
            <w:shd w:val="clear" w:color="auto" w:fill="E7E7E7"/>
          </w:tcPr>
          <w:p>
            <w:pPr>
              <w:spacing w:after="0"/>
              <w:rPr>
                <w:sz w:val="19"/>
                <w:szCs w:val="19"/>
                <w:color w:val="auto"/>
              </w:rPr>
            </w:pPr>
          </w:p>
        </w:tc>
        <w:tc>
          <w:tcPr>
            <w:tcW w:w="1000" w:type="dxa"/>
            <w:vAlign w:val="bottom"/>
            <w:shd w:val="clear" w:color="auto" w:fill="E7E7E7"/>
          </w:tcPr>
          <w:p>
            <w:pPr>
              <w:spacing w:after="0"/>
              <w:rPr>
                <w:sz w:val="19"/>
                <w:szCs w:val="19"/>
                <w:color w:val="auto"/>
              </w:rPr>
            </w:pPr>
          </w:p>
        </w:tc>
        <w:tc>
          <w:tcPr>
            <w:tcW w:w="80" w:type="dxa"/>
            <w:vAlign w:val="bottom"/>
            <w:shd w:val="clear" w:color="auto" w:fill="E7E7E7"/>
          </w:tcPr>
          <w:p>
            <w:pPr>
              <w:spacing w:after="0"/>
              <w:rPr>
                <w:sz w:val="19"/>
                <w:szCs w:val="19"/>
                <w:color w:val="auto"/>
              </w:rPr>
            </w:pPr>
          </w:p>
        </w:tc>
      </w:tr>
      <w:tr>
        <w:trPr>
          <w:trHeight w:val="230"/>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(49,871)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(62,883)</w:t>
            </w:r>
          </w:p>
        </w:tc>
      </w:tr>
      <w:tr>
        <w:trPr>
          <w:trHeight w:val="230"/>
        </w:trPr>
        <w:tc>
          <w:tcPr>
            <w:tcW w:w="5780" w:type="dxa"/>
            <w:vAlign w:val="bottom"/>
            <w:gridSpan w:val="2"/>
            <w:shd w:val="clear" w:color="auto" w:fill="E7E7E7"/>
          </w:tcPr>
          <w:p>
            <w:pPr>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shd w:val="clear" w:color="auto" w:fill="E7E7E7"/>
          </w:tcPr>
          <w:p>
            <w:pPr>
              <w:spacing w:after="0"/>
              <w:rPr>
                <w:sz w:val="20"/>
                <w:szCs w:val="20"/>
                <w:color w:val="auto"/>
              </w:rPr>
            </w:pPr>
          </w:p>
        </w:tc>
        <w:tc>
          <w:tcPr>
            <w:tcW w:w="980" w:type="dxa"/>
            <w:vAlign w:val="bottom"/>
            <w:shd w:val="clear" w:color="auto" w:fill="E7E7E7"/>
          </w:tcPr>
          <w:p>
            <w:pPr>
              <w:spacing w:after="0"/>
              <w:rPr>
                <w:sz w:val="20"/>
                <w:szCs w:val="20"/>
                <w:color w:val="auto"/>
              </w:rPr>
            </w:pPr>
          </w:p>
        </w:tc>
        <w:tc>
          <w:tcPr>
            <w:tcW w:w="220" w:type="dxa"/>
            <w:vAlign w:val="bottom"/>
            <w:shd w:val="clear" w:color="auto" w:fill="E7E7E7"/>
          </w:tcPr>
          <w:p>
            <w:pPr>
              <w:spacing w:after="0"/>
              <w:rPr>
                <w:sz w:val="20"/>
                <w:szCs w:val="20"/>
                <w:color w:val="auto"/>
              </w:rPr>
            </w:pPr>
          </w:p>
        </w:tc>
        <w:tc>
          <w:tcPr>
            <w:tcW w:w="200" w:type="dxa"/>
            <w:vAlign w:val="bottom"/>
            <w:shd w:val="clear" w:color="auto" w:fill="E7E7E7"/>
          </w:tcPr>
          <w:p>
            <w:pPr>
              <w:spacing w:after="0"/>
              <w:rPr>
                <w:sz w:val="20"/>
                <w:szCs w:val="20"/>
                <w:color w:val="auto"/>
              </w:rPr>
            </w:pPr>
          </w:p>
        </w:tc>
        <w:tc>
          <w:tcPr>
            <w:tcW w:w="1000" w:type="dxa"/>
            <w:vAlign w:val="bottom"/>
            <w:shd w:val="clear" w:color="auto" w:fill="E7E7E7"/>
          </w:tcPr>
          <w:p>
            <w:pPr>
              <w:spacing w:after="0"/>
              <w:rPr>
                <w:sz w:val="20"/>
                <w:szCs w:val="20"/>
                <w:color w:val="auto"/>
              </w:rPr>
            </w:pPr>
          </w:p>
        </w:tc>
        <w:tc>
          <w:tcPr>
            <w:tcW w:w="80" w:type="dxa"/>
            <w:vAlign w:val="bottom"/>
            <w:shd w:val="clear" w:color="auto" w:fill="E7E7E7"/>
          </w:tcPr>
          <w:p>
            <w:pPr>
              <w:spacing w:after="0"/>
              <w:rPr>
                <w:sz w:val="20"/>
                <w:szCs w:val="20"/>
                <w:color w:val="auto"/>
              </w:rPr>
            </w:pPr>
          </w:p>
        </w:tc>
      </w:tr>
      <w:tr>
        <w:trPr>
          <w:trHeight w:val="208"/>
        </w:trPr>
        <w:tc>
          <w:tcPr>
            <w:tcW w:w="5780" w:type="dxa"/>
            <w:vAlign w:val="bottom"/>
            <w:gridSpan w:val="2"/>
          </w:tcPr>
          <w:p>
            <w:pPr>
              <w:ind w:left="400"/>
              <w:spacing w:after="0" w:line="208" w:lineRule="exact"/>
              <w:rPr>
                <w:sz w:val="20"/>
                <w:szCs w:val="20"/>
                <w:color w:val="auto"/>
              </w:rPr>
            </w:pPr>
            <w:r>
              <w:rPr>
                <w:rFonts w:ascii="Times New Roman" w:cs="Times New Roman" w:eastAsia="Times New Roman" w:hAnsi="Times New Roman"/>
                <w:sz w:val="20"/>
                <w:szCs w:val="20"/>
                <w:color w:val="auto"/>
              </w:rPr>
              <w:t>Weighted average common shares outstanding—basic and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diluted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25,444,795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17,938,899</w:t>
            </w:r>
          </w:p>
        </w:tc>
      </w:tr>
      <w:tr>
        <w:trPr>
          <w:trHeight w:val="199"/>
        </w:trPr>
        <w:tc>
          <w:tcPr>
            <w:tcW w:w="5780" w:type="dxa"/>
            <w:vAlign w:val="bottom"/>
            <w:tcBorders>
              <w:top w:val="single" w:sz="8" w:color="E7E7E7"/>
            </w:tcBorders>
            <w:gridSpan w:val="2"/>
            <w:shd w:val="clear" w:color="auto" w:fill="E7E7E7"/>
          </w:tcPr>
          <w:p>
            <w:pPr>
              <w:spacing w:after="0" w:line="199" w:lineRule="exact"/>
              <w:rPr>
                <w:sz w:val="20"/>
                <w:szCs w:val="20"/>
                <w:color w:val="auto"/>
              </w:rPr>
            </w:pPr>
            <w:r>
              <w:rPr>
                <w:rFonts w:ascii="Times New Roman" w:cs="Times New Roman" w:eastAsia="Times New Roman" w:hAnsi="Times New Roman"/>
                <w:sz w:val="20"/>
                <w:szCs w:val="20"/>
                <w:color w:val="auto"/>
              </w:rPr>
              <w:t>Net loss per share attributable to common stockholders—basic and</w:t>
            </w:r>
          </w:p>
        </w:tc>
        <w:tc>
          <w:tcPr>
            <w:tcW w:w="180" w:type="dxa"/>
            <w:vAlign w:val="bottom"/>
            <w:tcBorders>
              <w:top w:val="single" w:sz="8" w:color="auto"/>
            </w:tcBorders>
            <w:shd w:val="clear" w:color="auto" w:fill="E7E7E7"/>
          </w:tcPr>
          <w:p>
            <w:pPr>
              <w:spacing w:after="0"/>
              <w:rPr>
                <w:sz w:val="17"/>
                <w:szCs w:val="17"/>
                <w:color w:val="auto"/>
              </w:rPr>
            </w:pPr>
          </w:p>
        </w:tc>
        <w:tc>
          <w:tcPr>
            <w:tcW w:w="980" w:type="dxa"/>
            <w:vAlign w:val="bottom"/>
            <w:tcBorders>
              <w:top w:val="single" w:sz="8" w:color="auto"/>
            </w:tcBorders>
            <w:shd w:val="clear" w:color="auto" w:fill="E7E7E7"/>
          </w:tcPr>
          <w:p>
            <w:pPr>
              <w:spacing w:after="0"/>
              <w:rPr>
                <w:sz w:val="17"/>
                <w:szCs w:val="17"/>
                <w:color w:val="auto"/>
              </w:rPr>
            </w:pPr>
          </w:p>
        </w:tc>
        <w:tc>
          <w:tcPr>
            <w:tcW w:w="220" w:type="dxa"/>
            <w:vAlign w:val="bottom"/>
            <w:tcBorders>
              <w:top w:val="single" w:sz="8" w:color="E7E7E7"/>
            </w:tcBorders>
            <w:shd w:val="clear" w:color="auto" w:fill="E7E7E7"/>
          </w:tcPr>
          <w:p>
            <w:pPr>
              <w:spacing w:after="0"/>
              <w:rPr>
                <w:sz w:val="17"/>
                <w:szCs w:val="17"/>
                <w:color w:val="auto"/>
              </w:rPr>
            </w:pPr>
          </w:p>
        </w:tc>
        <w:tc>
          <w:tcPr>
            <w:tcW w:w="200" w:type="dxa"/>
            <w:vAlign w:val="bottom"/>
            <w:tcBorders>
              <w:top w:val="single" w:sz="8" w:color="auto"/>
            </w:tcBorders>
            <w:shd w:val="clear" w:color="auto" w:fill="E7E7E7"/>
          </w:tcPr>
          <w:p>
            <w:pPr>
              <w:spacing w:after="0"/>
              <w:rPr>
                <w:sz w:val="17"/>
                <w:szCs w:val="17"/>
                <w:color w:val="auto"/>
              </w:rPr>
            </w:pPr>
          </w:p>
        </w:tc>
        <w:tc>
          <w:tcPr>
            <w:tcW w:w="1000" w:type="dxa"/>
            <w:vAlign w:val="bottom"/>
            <w:tcBorders>
              <w:top w:val="single" w:sz="8" w:color="auto"/>
            </w:tcBorders>
            <w:shd w:val="clear" w:color="auto" w:fill="E7E7E7"/>
          </w:tcPr>
          <w:p>
            <w:pPr>
              <w:spacing w:after="0"/>
              <w:rPr>
                <w:sz w:val="17"/>
                <w:szCs w:val="17"/>
                <w:color w:val="auto"/>
              </w:rPr>
            </w:pPr>
          </w:p>
        </w:tc>
        <w:tc>
          <w:tcPr>
            <w:tcW w:w="80" w:type="dxa"/>
            <w:vAlign w:val="bottom"/>
            <w:tcBorders>
              <w:top w:val="single" w:sz="8" w:color="E7E7E7"/>
            </w:tcBorders>
            <w:shd w:val="clear" w:color="auto" w:fill="E7E7E7"/>
          </w:tcPr>
          <w:p>
            <w:pPr>
              <w:spacing w:after="0"/>
              <w:rPr>
                <w:sz w:val="17"/>
                <w:szCs w:val="17"/>
                <w:color w:val="auto"/>
              </w:rPr>
            </w:pPr>
          </w:p>
        </w:tc>
      </w:tr>
      <w:tr>
        <w:trPr>
          <w:trHeight w:val="252"/>
        </w:trPr>
        <w:tc>
          <w:tcPr>
            <w:tcW w:w="576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diluted</w:t>
            </w:r>
          </w:p>
        </w:tc>
        <w:tc>
          <w:tcPr>
            <w:tcW w:w="20" w:type="dxa"/>
            <w:vAlign w:val="bottom"/>
            <w:shd w:val="clear" w:color="auto" w:fill="E7E7E7"/>
          </w:tcPr>
          <w:p>
            <w:pPr>
              <w:spacing w:after="0"/>
              <w:rPr>
                <w:sz w:val="21"/>
                <w:szCs w:val="21"/>
                <w:color w:val="auto"/>
              </w:rPr>
            </w:pPr>
          </w:p>
        </w:tc>
        <w:tc>
          <w:tcPr>
            <w:tcW w:w="180" w:type="dxa"/>
            <w:vAlign w:val="bottom"/>
            <w:shd w:val="clear" w:color="auto" w:fill="E7E7E7"/>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7E7E7"/>
          </w:tcPr>
          <w:p>
            <w:pPr>
              <w:jc w:val="right"/>
              <w:ind w:right="140"/>
              <w:spacing w:after="0"/>
              <w:rPr>
                <w:sz w:val="20"/>
                <w:szCs w:val="20"/>
                <w:color w:val="auto"/>
              </w:rPr>
            </w:pPr>
            <w:r>
              <w:rPr>
                <w:rFonts w:ascii="Times New Roman" w:cs="Times New Roman" w:eastAsia="Times New Roman" w:hAnsi="Times New Roman"/>
                <w:sz w:val="20"/>
                <w:szCs w:val="20"/>
                <w:color w:val="auto"/>
              </w:rPr>
              <w:t>(1.96)</w:t>
            </w:r>
          </w:p>
        </w:tc>
        <w:tc>
          <w:tcPr>
            <w:tcW w:w="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E7E7E7"/>
          </w:tcPr>
          <w:p>
            <w:pPr>
              <w:jc w:val="right"/>
              <w:ind w:right="20"/>
              <w:spacing w:after="0"/>
              <w:rPr>
                <w:sz w:val="20"/>
                <w:szCs w:val="20"/>
                <w:color w:val="auto"/>
              </w:rPr>
            </w:pPr>
            <w:r>
              <w:rPr>
                <w:rFonts w:ascii="Times New Roman" w:cs="Times New Roman" w:eastAsia="Times New Roman" w:hAnsi="Times New Roman"/>
                <w:sz w:val="20"/>
                <w:szCs w:val="20"/>
                <w:color w:val="auto"/>
              </w:rPr>
              <w:t>(3.51)</w:t>
            </w: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As part of the April 2025 Transactions, the Pre-Funded Warrants to purchase an aggregate of 2,251,695 shares of common stock at an exercise price of $0.001 per share are included within the denominator for basic net loss per share purposes and considered outstanding as of the date of issuance.</w:t>
      </w:r>
    </w:p>
    <w:p>
      <w:pPr>
        <w:spacing w:after="0" w:line="105"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The 420,000 restricted stock units vested but not issued as of December 31, 2025, are included in earnings per share calculation as all conditions for issuance have been satisfied making the underlying shares contingently issuable and economically equivalent to outstanding shares.</w:t>
      </w:r>
    </w:p>
    <w:p>
      <w:pPr>
        <w:spacing w:after="0" w:line="102"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The Company’s potential dilutive securities, which include stock options as of December 31, 2025 and 2024, have been excluded from the computation of diluted net loss per share attributable to common stockholders whenever the effect of including them would be to reduce the net loss per share. In periods where there is a net loss, the weighted average number of shares of common stock outstanding used to calculate both basic and diluted net loss per share attributable to common stockholders is the same. The following potential shares of common stock,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5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3"/>
        </w:trPr>
        <w:tc>
          <w:tcPr>
            <w:tcW w:w="5720" w:type="dxa"/>
            <w:vAlign w:val="bottom"/>
            <w:tcBorders>
              <w:bottom w:val="single" w:sz="8" w:color="E7E7E7"/>
            </w:tcBorders>
          </w:tcPr>
          <w:p>
            <w:pPr>
              <w:spacing w:after="0"/>
              <w:rPr>
                <w:sz w:val="15"/>
                <w:szCs w:val="15"/>
                <w:color w:val="auto"/>
              </w:rPr>
            </w:pPr>
          </w:p>
        </w:tc>
        <w:tc>
          <w:tcPr>
            <w:tcW w:w="20" w:type="dxa"/>
            <w:vAlign w:val="bottom"/>
            <w:tcBorders>
              <w:bottom w:val="single" w:sz="8" w:color="E7E7E7"/>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47"/>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bottom w:val="single" w:sz="8" w:color="E7E7E7"/>
            </w:tcBorders>
            <w:gridSpan w:val="2"/>
          </w:tcPr>
          <w:p>
            <w:pPr>
              <w:spacing w:after="0"/>
              <w:rPr>
                <w:sz w:val="15"/>
                <w:szCs w:val="15"/>
                <w:color w:val="auto"/>
              </w:rPr>
            </w:pPr>
          </w:p>
        </w:tc>
        <w:tc>
          <w:tcPr>
            <w:tcW w:w="1200" w:type="dxa"/>
            <w:vAlign w:val="bottom"/>
            <w:tcBorders>
              <w:top w:val="single" w:sz="8" w:color="auto"/>
              <w:bottom w:val="single" w:sz="8" w:color="auto"/>
            </w:tcBorders>
          </w:tcPr>
          <w:p>
            <w:pPr>
              <w:jc w:val="right"/>
              <w:ind w:right="35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7E7E7"/>
            </w:tcBorders>
          </w:tcPr>
          <w:p>
            <w:pPr>
              <w:spacing w:after="0"/>
              <w:rPr>
                <w:sz w:val="15"/>
                <w:szCs w:val="15"/>
                <w:color w:val="auto"/>
              </w:rPr>
            </w:pPr>
          </w:p>
        </w:tc>
      </w:tr>
      <w:tr>
        <w:trPr>
          <w:trHeight w:val="220"/>
        </w:trPr>
        <w:tc>
          <w:tcPr>
            <w:tcW w:w="5740" w:type="dxa"/>
            <w:vAlign w:val="bottom"/>
            <w:gridSpan w:val="2"/>
            <w:shd w:val="clear" w:color="auto" w:fill="E7E7E7"/>
          </w:tcPr>
          <w:p>
            <w:pPr>
              <w:spacing w:after="0" w:line="220" w:lineRule="exact"/>
              <w:rPr>
                <w:sz w:val="20"/>
                <w:szCs w:val="20"/>
                <w:color w:val="auto"/>
              </w:rPr>
            </w:pPr>
            <w:r>
              <w:rPr>
                <w:rFonts w:ascii="Times New Roman" w:cs="Times New Roman" w:eastAsia="Times New Roman" w:hAnsi="Times New Roman"/>
                <w:sz w:val="20"/>
                <w:szCs w:val="20"/>
                <w:color w:val="auto"/>
              </w:rPr>
              <w:t>Options to purchase common stock</w:t>
            </w:r>
          </w:p>
        </w:tc>
        <w:tc>
          <w:tcPr>
            <w:tcW w:w="1200" w:type="dxa"/>
            <w:vAlign w:val="bottom"/>
            <w:shd w:val="clear" w:color="auto" w:fill="E7E7E7"/>
          </w:tcPr>
          <w:p>
            <w:pPr>
              <w:jc w:val="right"/>
              <w:spacing w:after="0" w:line="220" w:lineRule="exact"/>
              <w:rPr>
                <w:sz w:val="20"/>
                <w:szCs w:val="20"/>
                <w:color w:val="auto"/>
              </w:rPr>
            </w:pPr>
            <w:r>
              <w:rPr>
                <w:rFonts w:ascii="Times New Roman" w:cs="Times New Roman" w:eastAsia="Times New Roman" w:hAnsi="Times New Roman"/>
                <w:sz w:val="20"/>
                <w:szCs w:val="20"/>
                <w:color w:val="auto"/>
              </w:rPr>
              <w:t>3,143,997</w:t>
            </w:r>
          </w:p>
        </w:tc>
        <w:tc>
          <w:tcPr>
            <w:tcW w:w="1500" w:type="dxa"/>
            <w:vAlign w:val="bottom"/>
            <w:gridSpan w:val="4"/>
            <w:shd w:val="clear" w:color="auto" w:fill="E7E7E7"/>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3,169,468</w:t>
            </w: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to issue shares of common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6,621,839</w:t>
            </w: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7,353,442</w:t>
            </w:r>
          </w:p>
        </w:tc>
      </w:tr>
      <w:tr>
        <w:trPr>
          <w:trHeight w:val="230"/>
        </w:trPr>
        <w:tc>
          <w:tcPr>
            <w:tcW w:w="5740" w:type="dxa"/>
            <w:vAlign w:val="bottom"/>
            <w:gridSpan w:val="2"/>
            <w:shd w:val="clear" w:color="auto" w:fill="E7E7E7"/>
          </w:tcPr>
          <w:p>
            <w:pPr>
              <w:spacing w:after="0"/>
              <w:rPr>
                <w:sz w:val="20"/>
                <w:szCs w:val="20"/>
                <w:color w:val="auto"/>
              </w:rPr>
            </w:pPr>
            <w:r>
              <w:rPr>
                <w:rFonts w:ascii="Times New Roman" w:cs="Times New Roman" w:eastAsia="Times New Roman" w:hAnsi="Times New Roman"/>
                <w:sz w:val="20"/>
                <w:szCs w:val="20"/>
                <w:color w:val="auto"/>
              </w:rPr>
              <w:t>Series X Preferred Stock issued and outstanding, as converted</w:t>
            </w: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12,232,000</w:t>
            </w:r>
          </w:p>
        </w:tc>
        <w:tc>
          <w:tcPr>
            <w:tcW w:w="1500" w:type="dxa"/>
            <w:vAlign w:val="bottom"/>
            <w:gridSpan w:val="4"/>
            <w:shd w:val="clear" w:color="auto" w:fill="E7E7E7"/>
          </w:tcPr>
          <w:p>
            <w:pPr>
              <w:jc w:val="right"/>
              <w:ind w:right="100"/>
              <w:spacing w:after="0"/>
              <w:rPr>
                <w:sz w:val="20"/>
                <w:szCs w:val="20"/>
                <w:color w:val="auto"/>
              </w:rPr>
            </w:pPr>
            <w:r>
              <w:rPr>
                <w:rFonts w:ascii="Times New Roman" w:cs="Times New Roman" w:eastAsia="Times New Roman" w:hAnsi="Times New Roman"/>
                <w:sz w:val="20"/>
                <w:szCs w:val="20"/>
                <w:color w:val="auto"/>
              </w:rPr>
              <w:t>12,232,000</w:t>
            </w:r>
          </w:p>
        </w:tc>
      </w:tr>
      <w:tr>
        <w:trPr>
          <w:trHeight w:val="221"/>
        </w:trPr>
        <w:tc>
          <w:tcPr>
            <w:tcW w:w="574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20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21,997,836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22,754,910</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right="6220"/>
        <w:spacing w:after="0" w:line="366" w:lineRule="auto"/>
        <w:tabs>
          <w:tab w:leader="none" w:pos="30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Legal Proceedings</w:t>
      </w: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Company may from time to time be party to litigation arising in the ordinary course of business. As of December 31, 2025, the Company was not party to any legal proceedings and no material legal proceedings are currently pending or, to the Company’s knowledge,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F-29</w:t>
      </w:r>
    </w:p>
    <w:p>
      <w:pPr>
        <w:sectPr>
          <w:pgSz w:w="12240" w:h="15840" w:orient="portrait"/>
          <w:cols w:equalWidth="0" w:num="1">
            <w:col w:w="9360"/>
          </w:cols>
          <w:pgMar w:left="1440" w:top="1440" w:right="1440" w:bottom="177"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Licenses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Harvard and Dana-Farber Agreement</w:t>
      </w:r>
    </w:p>
    <w:p>
      <w:pPr>
        <w:spacing w:after="0" w:line="11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 August 2006, the Company entered into an exclusive license agreement with President and Fellows of Harvard College, or Harvard, and Dana-Farber Cancer Institute, or DFCI. The agreement granted the Company an exclusive worldwide license, with the right to sublicense, under specified patents and patent applications to develop, obtain regulatory approval for and commercialize specified product candidates based on cell-permeating peptides. Under the agreement, the Company is obligated to use commercially reasonable efforts to develop and commercialize one or more licensed products and to achieve specified milestone events by specified dates. In connection with entering into the agreement, the Company paid an upfront license fee and issued to Harvard and DFCI shares of its common stock.</w:t>
      </w:r>
    </w:p>
    <w:p>
      <w:pPr>
        <w:spacing w:after="0" w:line="81"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February 2010, the agreement was amended and restated, or the Harvard/DFCI agreement, under which additional patent rights were added to the scope of the license agreement and the annual license maintenance fees were increased. Under the Harvard/DFCI agreement, the Company is obligated to make aggregate milestones payments of up to $7,700 per licensed therapeutic product upon the Company’s achievement of specified clinical, regulatory and sales milestones with respect to such product and up to $700 per licensed diagnostic product upon the Company’s achievement of specified regulatory and sales milestones with respect to such product. In addition, the Company is obligated to pay royalties of low single-digit percentages on annual net sales of licensed products sold by the Company, its affiliates or its sublicensees. The royalties are payable on a product-by-product and country-by-country basis and may be reduced in specified circumstances. In addition, the agreement obligates the Company to pay a percentage, up to the mid-twenties, of fees received by the Company in connection with its sublicense of the licensed products. In accordance with the terms of the agreement, the Company’s sublicense payment obligations may be subject to specified reductions.</w:t>
      </w:r>
    </w:p>
    <w:p>
      <w:pPr>
        <w:spacing w:after="0" w:line="86"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Harvard/DFCI agreement requires the Company to pay annual license maintenance fees of $110 each year, which was reduced to $35 starting in 2023. Any payments made in connection with the annual license maintenance fees will be credited against any royalties due.</w:t>
      </w:r>
    </w:p>
    <w:p>
      <w:pPr>
        <w:spacing w:after="0" w:line="65"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As of December 31, 2025, the Company had not developed a commercial product using the licensed technologies and no royalties under the agreement had been paid or were due.</w:t>
      </w:r>
    </w:p>
    <w:p>
      <w:pPr>
        <w:spacing w:after="0" w:line="4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Under the Harvard/DFCI agreement, the Company is responsible for all patent expenses related to the prosecution and maintenance of the licensed patents and applications in-licensed under the agreement as well as cost reimbursement of amounts incurred for all documented patent-related expenses. The agreement will expire on a product-by-product and country-by-country basis upon the last to expire of any valid patent claim pertaining to licensed products covered under the agreement. The Company incurred $35 license maintenance fees in the year ended December 31, 2025, which was partially reimbursed by Advancium and the remaining is reimbursable by Rients. The Company incurred $35 license maintenance fees in the year ended December 31, 2024.</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Agreement with the University of Texas Health Science Center at Tyler</w:t>
      </w:r>
    </w:p>
    <w:p>
      <w:pPr>
        <w:spacing w:after="0" w:line="115"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In June 2013, the Company entered into a patent and technology license agreement with UT System, on behalf of UTHSCT. The patent and technology license agreement with UT System, or the UTHSCT Agreement, provides the Company access to patents and technology related to the development of LTI-01 and LTI-03. As part of the UTHSCT Agreement, the Company has (i) a royalty -bearing, exclusive license under the patent rights to manufacture, distribute, and sell certain intellectual property; (ii) a non-exclusive license under the technology rights to manufacture, distribute and sell the licensed product; and (iii) a sublicensing right that allows the Company to grant sublicenses to affiliates and third parties to use the licensed product in the field of use and approved territories outlined in the UTHSCT Agreement. In December 2013, the UTHSCT Agreement was amended and restated to include certain patents in all fields worldwide. In May 2017, the UTHSCT Agreement was amended and restated to modify the specific milestone criteria.</w:t>
      </w:r>
    </w:p>
    <w:p>
      <w:pPr>
        <w:spacing w:after="0" w:line="8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In consideration of the UTHSCT Agreement, the Company agreed to pay past and ongoing patent expenses, and the Company owes UTHSCT sublicensing fees, assignment fees, and single digit royalties on worldwide net product sales, with fixed minimum royalty payments that started in 2015.</w:t>
      </w:r>
    </w:p>
    <w:p>
      <w:pPr>
        <w:spacing w:after="0" w:line="65"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Pursuant to the UTHSCT Agreement, the Company is required to use diligent efforts to commercialize the licensed technology as soon as commercially practicable, including maintaining active research and development, regulatory, marketing and sales program, all as commercially reasonable.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F-30</w:t>
      </w:r>
    </w:p>
    <w:p>
      <w:pPr>
        <w:sectPr>
          <w:pgSz w:w="12240" w:h="15840" w:orient="portrait"/>
          <w:cols w:equalWidth="0" w:num="1">
            <w:col w:w="9360"/>
          </w:cols>
          <w:pgMar w:left="1440" w:top="1420" w:right="1440" w:bottom="177" w:gutter="0" w:footer="0" w:header="0"/>
        </w:sectPr>
      </w:pPr>
    </w:p>
    <w:bookmarkStart w:id="138" w:name="page139"/>
    <w:bookmarkEnd w:id="138"/>
    <w:p>
      <w:pPr>
        <w:jc w:val="both"/>
        <w:ind w:firstLine="490"/>
        <w:spacing w:after="0" w:line="279" w:lineRule="auto"/>
        <w:rPr>
          <w:sz w:val="20"/>
          <w:szCs w:val="20"/>
          <w:color w:val="auto"/>
        </w:rPr>
      </w:pPr>
      <w:r>
        <w:rPr>
          <w:rFonts w:ascii="Times New Roman" w:cs="Times New Roman" w:eastAsia="Times New Roman" w:hAnsi="Times New Roman"/>
          <w:sz w:val="19"/>
          <w:szCs w:val="19"/>
          <w:color w:val="auto"/>
        </w:rPr>
        <w:t>The Company may terminate the UTHSCT Agreement for convenience with 90 days’ notice. UTHSCT may also terminate the UTHSCT Agreement, but only if the Company breaches the terms of the agreement. The Company did not incur any expense under the UTHSCT Agreement in the years ended December 31, 2025 and 2024.</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Agreement with the University of Texas at Austin</w:t>
      </w:r>
    </w:p>
    <w:p>
      <w:pPr>
        <w:spacing w:after="0" w:line="11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 May 2015, the Company entered into a patent license agreement with UT Austin on behalf of UT System. This license agreement with UT Austin, or the UT Austin 6607 Agreement, relates to the patent rights to polypeptide therapeutics and uses thereof. Pursuant to the UT Austin 6607 Agreement the Company has (i) a royalty-bearing, exclusive license under the patent rights to manufacture, distribute, and sell the licensed product; and (ii) a sublicensing right that allows the Company to grant sublicenses to affiliates and third parties to use the licensed product in the field of use and approved territories outlined in the agreement. The UT Austin 6607 Agreement was amended and restated in January 2017, November 2018, and June 2019. The amendments related to extension of milestone payment dates and specific terminology around the milestone achievement criteria.</w:t>
      </w:r>
    </w:p>
    <w:p>
      <w:pPr>
        <w:spacing w:after="0" w:line="81"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consideration of the UT Austin 6607 Agreement, the Company agreed to pay past and ongoing patent expenses, milestone fees upon certain development and regulatory milestone events, annual license fees, tiered sublicense fees, assignment fees, low single digit royalties on net sales and a Food and Drug Administration, or FDA, Priority Review Voucher fee if the Company sells or transfers this voucher.</w:t>
      </w:r>
    </w:p>
    <w:p>
      <w:pPr>
        <w:spacing w:after="0" w:line="71"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19"/>
          <w:szCs w:val="19"/>
          <w:color w:val="auto"/>
        </w:rPr>
        <w:t>Pursuant to the UT Austin 6607 Agreement, the Company is required to use diligent efforts to commercialize the licensed products, including maintaining active research and development, regulatory, marketing and sales program. Moreover, the Company is required to meet certain development and regulatory milestones by specific dates.</w:t>
      </w:r>
    </w:p>
    <w:p>
      <w:pPr>
        <w:spacing w:after="0" w:line="4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Company may terminate the UT Austin 6607 Agreement for convenience with 90 days’ notice. UT Austin may also terminate the UT Austin 6607 Agreement, but only if the Company breaches the terms of the agreement. The Company did not incur any expense under the UT Austin 6607 Agreement in the years ended December 31, 2025 and 2024.</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Agreement with Medical University of South Carolina</w:t>
      </w:r>
    </w:p>
    <w:p>
      <w:pPr>
        <w:spacing w:after="0" w:line="115"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auto"/>
        </w:rPr>
        <w:t>In March 2016, the Company entered into a license agreement with Medical University of South Carolina Foundation for Research Development, or MUSC. Pursuant to this license agreement with MUSC, or the MUSC Agreement, the Company has patent rights related to protecting against lung fibrosis by up regulating Cav1. The MUSC Agreement granted (i) a royalty-bearing, exclusive license under the patent rights to make, use and sell the license product; and (ii) a sublicensing right that allows the Company to grant sublicenses to affiliates and third parties to use the licensed product in the field of use and approved territories outlined in the agreement. In September 2018, the agreement was amended and restated to include definitions of related methods, related products and related rights.</w:t>
      </w:r>
    </w:p>
    <w:p>
      <w:pPr>
        <w:spacing w:after="0" w:line="67"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In consideration of the MUSC Agreement, the Company agreed to pay a non-refundable license fee, patent expenses, milestone fees upon certain development, regulatory and commercial milestone events, sublicense fees, assignment fees and low single digit royalties on net sales, with a fixed minimum royalty payment starting in 2019 and a transaction fee upon the Company’s liquidation.</w:t>
      </w:r>
    </w:p>
    <w:p>
      <w:pPr>
        <w:spacing w:after="0" w:line="69"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Pursuant to the MUSC Agreement, the Company is required to use diligent efforts to develop, manufacture and sell the licensed products.</w:t>
      </w:r>
    </w:p>
    <w:p>
      <w:pPr>
        <w:spacing w:after="0" w:line="44"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Company may terminate the MUSC Agreement for convenience by providing a written notice to MUSC effective 90 days following the receipt of notice, and either party may terminate the agreement for a breach of contract. The Company incurred $25 license fees in the years ended December 31, 2025 and 2024, respectively.</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Agreement with Vivarta Therapeutics LLC</w:t>
      </w:r>
    </w:p>
    <w:p>
      <w:pPr>
        <w:spacing w:after="0" w:line="115"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9"/>
          <w:szCs w:val="19"/>
          <w:color w:val="auto"/>
        </w:rPr>
        <w:t>In March 2018, the Company entered into a license agreement with Vivarta Therapeutics, LLC, or Vivarta. This license agreement with Vivarta, or the Vivarta Agreement, relates to intellectual property relating to epithelial sodium channel inhibitors and methods to treat pulmonary disease. Pursuant to the Vivarta Agreement the Company has (i) a royalty-bearing, exclusive license under the intellectual property rights to make, use and sell the licensed product, and</w:t>
      </w:r>
    </w:p>
    <w:p>
      <w:pPr>
        <w:spacing w:after="0" w:line="4" w:lineRule="exact"/>
        <w:rPr>
          <w:sz w:val="20"/>
          <w:szCs w:val="20"/>
          <w:color w:val="auto"/>
        </w:rPr>
      </w:pPr>
    </w:p>
    <w:p>
      <w:pPr>
        <w:spacing w:after="0" w:line="272" w:lineRule="auto"/>
        <w:tabs>
          <w:tab w:leader="none" w:pos="29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sublicensing right that allows the Company to grant sublicenses to affiliates and third parties to use the licensed product in the field of use and approved territories outlined in the agreement.</w:t>
      </w:r>
    </w:p>
    <w:p>
      <w:pPr>
        <w:spacing w:after="0" w:line="50" w:lineRule="exact"/>
        <w:rPr>
          <w:sz w:val="20"/>
          <w:szCs w:val="20"/>
          <w:color w:val="auto"/>
        </w:rPr>
      </w:pPr>
    </w:p>
    <w:p>
      <w:pPr>
        <w:ind w:firstLine="490"/>
        <w:spacing w:after="0" w:line="280" w:lineRule="auto"/>
        <w:rPr>
          <w:sz w:val="20"/>
          <w:szCs w:val="20"/>
          <w:color w:val="auto"/>
        </w:rPr>
      </w:pPr>
      <w:r>
        <w:rPr>
          <w:rFonts w:ascii="Times New Roman" w:cs="Times New Roman" w:eastAsia="Times New Roman" w:hAnsi="Times New Roman"/>
          <w:sz w:val="20"/>
          <w:szCs w:val="20"/>
          <w:color w:val="auto"/>
        </w:rPr>
        <w:t>In consideration for the Vivarta Agreement, the Company agreed to grant Vivarta a warrant to purchase an aggregate of 75,000 shares of common stock of Lung for $0.12 per share, to pay a license fee of $10,000 upon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F-31</w:t>
      </w:r>
    </w:p>
    <w:p>
      <w:pPr>
        <w:sectPr>
          <w:pgSz w:w="12240" w:h="15840" w:orient="portrait"/>
          <w:cols w:equalWidth="0" w:num="1">
            <w:col w:w="9360"/>
          </w:cols>
          <w:pgMar w:left="1440" w:top="1418" w:right="1440" w:bottom="177" w:gutter="0" w:footer="0" w:header="0"/>
        </w:sectPr>
      </w:pPr>
    </w:p>
    <w:bookmarkStart w:id="139" w:name="page140"/>
    <w:bookmarkEnd w:id="139"/>
    <w:p>
      <w:pPr>
        <w:jc w:val="both"/>
        <w:spacing w:after="0" w:line="259" w:lineRule="auto"/>
        <w:rPr>
          <w:sz w:val="20"/>
          <w:szCs w:val="20"/>
          <w:color w:val="auto"/>
        </w:rPr>
      </w:pPr>
      <w:r>
        <w:rPr>
          <w:rFonts w:ascii="Times New Roman" w:cs="Times New Roman" w:eastAsia="Times New Roman" w:hAnsi="Times New Roman"/>
          <w:sz w:val="20"/>
          <w:szCs w:val="20"/>
          <w:color w:val="auto"/>
        </w:rPr>
        <w:t>Vivarta Agreement effective date and $40,000 within 30 days of the receipt of a positive freedom to operate analysis from legal counsel. The Company also agreed to pay patent expenses, milestone fees upon certain development and regulatory milestone events, sublicense fees, assignment fees and low single digit royalties on net sales.</w:t>
      </w:r>
    </w:p>
    <w:p>
      <w:pPr>
        <w:spacing w:after="0" w:line="65"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Pursuant to the Vivarta Agreement, the Company is required to use diligent efforts to develop, manufacture and sell the licensed products.</w:t>
      </w:r>
    </w:p>
    <w:p>
      <w:pPr>
        <w:spacing w:after="0" w:line="4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Company may terminate the Vivarta Agreement for convenience by providing a written notice to Vivarta effective 90 days following the receipt of notice, and either party may terminate the agreement for a breach of contract. The Company did not incur any expenses under the Vivarta Agreement in the years ended December 31, 2025 and 2024.</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Master Services Agreement</w:t>
      </w:r>
    </w:p>
    <w:p>
      <w:pPr>
        <w:spacing w:after="0" w:line="115"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In April 2025, the Company entered into a master services agreement with a third party Contract Research Organization, or CRO, under which the CRO has agreed to perform certain services in accordance with written work orders. The work orders set forth the obligations of the parties with regard to conducting the clinical research study entitled “A Randomized, Double-Blind, Placebo-Controlled, Phase 2, Safety, Tolerability and Efficacy Study of Caveolin1-Scaffolding-Protein-Derived Peptide (LTI-03) in Patients with IPF”, under the Company’s Protocol LTI-03-2001. Pursuant to the agreement, the Company had contracted for up to $17.0 million of master services.</w:t>
      </w:r>
    </w:p>
    <w:p>
      <w:pPr>
        <w:spacing w:after="0" w:line="80" w:lineRule="exact"/>
        <w:rPr>
          <w:sz w:val="20"/>
          <w:szCs w:val="20"/>
          <w:color w:val="auto"/>
        </w:rPr>
      </w:pPr>
    </w:p>
    <w:p>
      <w:pPr>
        <w:ind w:left="480" w:right="100"/>
        <w:spacing w:after="0" w:line="365" w:lineRule="auto"/>
        <w:rPr>
          <w:sz w:val="20"/>
          <w:szCs w:val="20"/>
          <w:color w:val="auto"/>
        </w:rPr>
      </w:pPr>
      <w:r>
        <w:rPr>
          <w:rFonts w:ascii="Times New Roman" w:cs="Times New Roman" w:eastAsia="Times New Roman" w:hAnsi="Times New Roman"/>
          <w:sz w:val="20"/>
          <w:szCs w:val="20"/>
          <w:color w:val="auto"/>
        </w:rPr>
        <w:t xml:space="preserve">In August 2025, this master services agreement was terminated with no future commitment for the Company. </w:t>
      </w:r>
      <w:r>
        <w:rPr>
          <w:rFonts w:ascii="Times New Roman" w:cs="Times New Roman" w:eastAsia="Times New Roman" w:hAnsi="Times New Roman"/>
          <w:sz w:val="20"/>
          <w:szCs w:val="20"/>
          <w:i w:val="1"/>
          <w:iCs w:val="1"/>
          <w:color w:val="auto"/>
        </w:rPr>
        <w:t>Exclusive Option Agreement with Advancium</w:t>
      </w: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On October 31, 2024, the Company entered into an exclusive option agreement, or the Option Agreement, with Advancium Health Network, or Advancium, for the sale of ALRN-6924, a clinical stage oncology agent that the Company was developing prior to the Lung Acquisition (as defined below). During the option period, Advancium intends to evaluate ALRN-6924 as a potential therapy for retinoblastoma. Under the terms of the option agreement Advancium paid the Company a non-refundable fee of $0.1 million for the exclusive option to acquire ALRN-6924 and related assets. If Advancium exercises its option, the Company will receive an exercise payment with potential for additional development, regulatory and commercial milestone payments and sales royalties.</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July 2025, the Option Agreement was terminated.</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Letter Agreement with Rients</w:t>
      </w:r>
    </w:p>
    <w:p>
      <w:pPr>
        <w:spacing w:after="0" w:line="115"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In August 2025, the Company entered into a letter agreement with Rients LLC, or Rients, for Rients to evaluate the legacy ALRN-6924 compound, or the Compound Asset. During the term of the letter agreement, Rients shall pay the Company for all fees and expenses incurred by the Company to maintain the Compound Asset.</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Project Addendum</w:t>
      </w:r>
    </w:p>
    <w:p>
      <w:pPr>
        <w:spacing w:after="0" w:line="116" w:lineRule="exact"/>
        <w:rPr>
          <w:sz w:val="20"/>
          <w:szCs w:val="20"/>
          <w:color w:val="auto"/>
        </w:rPr>
      </w:pPr>
    </w:p>
    <w:p>
      <w:pPr>
        <w:jc w:val="both"/>
        <w:ind w:firstLine="490"/>
        <w:spacing w:after="0" w:line="266" w:lineRule="auto"/>
        <w:rPr>
          <w:sz w:val="20"/>
          <w:szCs w:val="20"/>
          <w:color w:val="auto"/>
        </w:rPr>
      </w:pPr>
      <w:r>
        <w:rPr>
          <w:rFonts w:ascii="Times New Roman" w:cs="Times New Roman" w:eastAsia="Times New Roman" w:hAnsi="Times New Roman"/>
          <w:sz w:val="19"/>
          <w:szCs w:val="19"/>
          <w:color w:val="auto"/>
        </w:rPr>
        <w:t>In December 2025, the Company entered into a project addendum with a third party CRO for the purposes of setting forth the responsibilities and obligations of the parties in regards to conducting a certain clinical research program entitled “A Phase 2, Randomized, Double-Blind, Placebo-Controlled Study of the Safety, Tolerability and Efficacy of Caveolin-1-Scaffolding-Protein-Derived Peptide in Patients with IPF” under the Company’s Protocol LTI-03-2001. Pursuant to the project addendum, the Company had contracted for up to $19.8 million of master services.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Advisory Agreements</w:t>
      </w:r>
    </w:p>
    <w:p>
      <w:pPr>
        <w:spacing w:after="0" w:line="15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Company has entered into various arrangements with certain business advisors, consultants, and investment institutions to assist the Company with fundraising and to provide certain advisory services. In connection with these arrangements, the Company may be required to pay such business advisors, consultants, and investment institutions certain contingent fees related to their services to the extent that certain conditions are met, such as the successful fundraising. There are no contingent fees payable under these arrangements as of December 31, 2025 or December 31,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118"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19"/>
          <w:szCs w:val="19"/>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F-32</w:t>
      </w:r>
    </w:p>
    <w:p>
      <w:pPr>
        <w:sectPr>
          <w:pgSz w:w="12240" w:h="15840" w:orient="portrait"/>
          <w:cols w:equalWidth="0" w:num="1">
            <w:col w:w="9360"/>
          </w:cols>
          <w:pgMar w:left="1440" w:top="1418" w:right="1440" w:bottom="177" w:gutter="0" w:footer="0" w:header="0"/>
        </w:sectPr>
      </w:pPr>
    </w:p>
    <w:bookmarkStart w:id="140" w:name="page141"/>
    <w:bookmarkEnd w:id="140"/>
    <w:p>
      <w:pPr>
        <w:jc w:val="both"/>
        <w:spacing w:after="0" w:line="245" w:lineRule="auto"/>
        <w:rPr>
          <w:sz w:val="20"/>
          <w:szCs w:val="20"/>
          <w:color w:val="auto"/>
        </w:rPr>
      </w:pPr>
      <w:r>
        <w:rPr>
          <w:rFonts w:ascii="Times New Roman" w:cs="Times New Roman" w:eastAsia="Times New Roman" w:hAnsi="Times New Roman"/>
          <w:sz w:val="20"/>
          <w:szCs w:val="20"/>
          <w:color w:val="auto"/>
        </w:rPr>
        <w:t>addition, the Company has entered into indemnification agreements with members of its board of directors and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had not accrued any liabilities related to such obligations in its consolidated financial statements as of December 31, 2025 or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Segment Reporting</w:t>
      </w:r>
    </w:p>
    <w:p>
      <w:pPr>
        <w:spacing w:after="0" w:line="12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The Company has one reportable segment which focuses on developing novel therapies for the treatment of orphan pulmonary and fibrosis indications with no approved or limited effective treatments. The Company’s CODM, the CEO, manages the Company’s operations on a consolidated basis as one operating segment for the purposes of evaluating financial performance and allocating resources.</w:t>
      </w:r>
    </w:p>
    <w:p>
      <w:pPr>
        <w:spacing w:after="0" w:line="69"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20"/>
          <w:szCs w:val="20"/>
          <w:color w:val="auto"/>
        </w:rPr>
        <w:t>The Company has not generated any revenue yet. The CODM assesses the financial performance of the segment and decides how to allocate resources based on net loss on a consolidated basis. The measure of segment assets is reported on the consolidated balance sheets as total consolidated assets.</w:t>
      </w:r>
    </w:p>
    <w:p>
      <w:pPr>
        <w:spacing w:after="0" w:line="63"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The CODM uses net loss predominantly in the annual operating budget and in the strategic planning and forecasting process. Such loss measure is used to monitor budget versus actual results on an ongoing basis by the CODM and determine how resources are allocated to the various activities of the Company. The CODM also uses net loss to evaluate the Company’s performance and assist in determination of management’s incentive compensation.</w:t>
      </w:r>
    </w:p>
    <w:p>
      <w:pPr>
        <w:spacing w:after="0" w:line="57"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20"/>
          <w:szCs w:val="20"/>
          <w:color w:val="auto"/>
        </w:rPr>
        <w:t>All of the Company’s tangible assets are held in the United States. The Company views its operations and manages its business in one operating segment operating exclusively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F-33</w:t>
      </w:r>
    </w:p>
    <w:p>
      <w:pPr>
        <w:sectPr>
          <w:pgSz w:w="12240" w:h="15840" w:orient="portrait"/>
          <w:cols w:equalWidth="0" w:num="1">
            <w:col w:w="9360"/>
          </w:cols>
          <w:pgMar w:left="1440" w:top="1418" w:right="1440" w:bottom="177" w:gutter="0" w:footer="0" w:header="0"/>
        </w:sectPr>
      </w:pPr>
    </w:p>
    <w:bookmarkStart w:id="141" w:name="page142"/>
    <w:bookmarkEnd w:id="141"/>
    <w:p>
      <w:pPr>
        <w:ind w:left="480"/>
        <w:spacing w:after="0"/>
        <w:rPr>
          <w:sz w:val="20"/>
          <w:szCs w:val="20"/>
          <w:color w:val="auto"/>
        </w:rPr>
      </w:pPr>
      <w:r>
        <w:rPr>
          <w:rFonts w:ascii="Times New Roman" w:cs="Times New Roman" w:eastAsia="Times New Roman" w:hAnsi="Times New Roman"/>
          <w:sz w:val="20"/>
          <w:szCs w:val="20"/>
          <w:color w:val="auto"/>
        </w:rPr>
        <w:t>The table below is a summary of the segment loss, including significant segment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8"/>
        </w:trPr>
        <w:tc>
          <w:tcPr>
            <w:tcW w:w="6380" w:type="dxa"/>
            <w:vAlign w:val="bottom"/>
            <w:tcBorders>
              <w:bottom w:val="single" w:sz="8" w:color="E7E7E7"/>
            </w:tcBorders>
          </w:tcPr>
          <w:p>
            <w:pPr>
              <w:spacing w:after="0"/>
              <w:rPr>
                <w:sz w:val="16"/>
                <w:szCs w:val="16"/>
                <w:color w:val="auto"/>
              </w:rPr>
            </w:pPr>
          </w:p>
        </w:tc>
        <w:tc>
          <w:tcPr>
            <w:tcW w:w="20" w:type="dxa"/>
            <w:vAlign w:val="bottom"/>
            <w:tcBorders>
              <w:bottom w:val="single" w:sz="8" w:color="E7E7E7"/>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E7E7E7"/>
            </w:tcBorders>
          </w:tcPr>
          <w:p>
            <w:pPr>
              <w:spacing w:after="0"/>
              <w:rPr>
                <w:sz w:val="16"/>
                <w:szCs w:val="16"/>
                <w:color w:val="auto"/>
              </w:rPr>
            </w:pPr>
          </w:p>
        </w:tc>
        <w:tc>
          <w:tcPr>
            <w:tcW w:w="20" w:type="dxa"/>
            <w:vAlign w:val="bottom"/>
            <w:tcBorders>
              <w:top w:val="single" w:sz="8" w:color="auto"/>
              <w:bottom w:val="single" w:sz="8" w:color="E7E7E7"/>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7E7E7"/>
            </w:tcBorders>
          </w:tcPr>
          <w:p>
            <w:pPr>
              <w:spacing w:after="0"/>
              <w:rPr>
                <w:sz w:val="16"/>
                <w:szCs w:val="16"/>
                <w:color w:val="auto"/>
              </w:rPr>
            </w:pPr>
          </w:p>
        </w:tc>
      </w:tr>
      <w:tr>
        <w:trPr>
          <w:trHeight w:val="234"/>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Revenues</w:t>
            </w:r>
          </w:p>
        </w:tc>
        <w:tc>
          <w:tcPr>
            <w:tcW w:w="20" w:type="dxa"/>
            <w:vAlign w:val="bottom"/>
            <w:shd w:val="clear" w:color="auto" w:fill="E7E7E7"/>
          </w:tcPr>
          <w:p>
            <w:pPr>
              <w:spacing w:after="0"/>
              <w:rPr>
                <w:sz w:val="20"/>
                <w:szCs w:val="20"/>
                <w:color w:val="auto"/>
              </w:rPr>
            </w:pPr>
          </w:p>
        </w:tc>
        <w:tc>
          <w:tcPr>
            <w:tcW w:w="1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1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0"/>
                <w:szCs w:val="20"/>
                <w:color w:val="auto"/>
              </w:rPr>
            </w:pPr>
          </w:p>
        </w:tc>
      </w:tr>
      <w:tr>
        <w:trPr>
          <w:trHeight w:val="233"/>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6380" w:type="dxa"/>
            <w:vAlign w:val="bottom"/>
            <w:shd w:val="clear" w:color="auto" w:fill="E7E7E7"/>
          </w:tcPr>
          <w:p>
            <w:pPr>
              <w:ind w:left="100"/>
              <w:spacing w:after="0"/>
              <w:rPr>
                <w:sz w:val="20"/>
                <w:szCs w:val="20"/>
                <w:color w:val="auto"/>
              </w:rPr>
            </w:pPr>
            <w:r>
              <w:rPr>
                <w:rFonts w:ascii="Times New Roman" w:cs="Times New Roman" w:eastAsia="Times New Roman" w:hAnsi="Times New Roman"/>
                <w:sz w:val="20"/>
                <w:szCs w:val="20"/>
                <w:color w:val="auto"/>
              </w:rPr>
              <w:t>LTI-01 program-related expenses:</w:t>
            </w: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180" w:type="dxa"/>
            <w:vAlign w:val="bottom"/>
            <w:shd w:val="clear" w:color="auto" w:fill="E7E7E7"/>
          </w:tcPr>
          <w:p>
            <w:pPr>
              <w:spacing w:after="0"/>
              <w:rPr>
                <w:sz w:val="21"/>
                <w:szCs w:val="21"/>
                <w:color w:val="auto"/>
              </w:rPr>
            </w:pP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200" w:type="dxa"/>
            <w:vAlign w:val="bottom"/>
            <w:shd w:val="clear" w:color="auto" w:fill="E7E7E7"/>
          </w:tcPr>
          <w:p>
            <w:pPr>
              <w:spacing w:after="0"/>
              <w:rPr>
                <w:sz w:val="21"/>
                <w:szCs w:val="21"/>
                <w:color w:val="auto"/>
              </w:rPr>
            </w:pPr>
          </w:p>
        </w:tc>
        <w:tc>
          <w:tcPr>
            <w:tcW w:w="80" w:type="dxa"/>
            <w:vAlign w:val="bottom"/>
            <w:shd w:val="clear" w:color="auto" w:fill="E7E7E7"/>
          </w:tcPr>
          <w:p>
            <w:pPr>
              <w:spacing w:after="0"/>
              <w:rPr>
                <w:sz w:val="21"/>
                <w:szCs w:val="21"/>
                <w:color w:val="auto"/>
              </w:rPr>
            </w:pPr>
          </w:p>
        </w:tc>
      </w:tr>
      <w:tr>
        <w:trPr>
          <w:trHeight w:val="245"/>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Preclinical study costs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1"/>
                <w:szCs w:val="21"/>
                <w:color w:val="auto"/>
              </w:rPr>
            </w:pPr>
          </w:p>
        </w:tc>
      </w:tr>
      <w:tr>
        <w:trPr>
          <w:trHeight w:val="244"/>
        </w:trPr>
        <w:tc>
          <w:tcPr>
            <w:tcW w:w="638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CMC activities</w:t>
            </w: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3,566</w:t>
            </w:r>
          </w:p>
        </w:tc>
        <w:tc>
          <w:tcPr>
            <w:tcW w:w="80" w:type="dxa"/>
            <w:vAlign w:val="bottom"/>
            <w:shd w:val="clear" w:color="auto" w:fill="E7E7E7"/>
          </w:tcPr>
          <w:p>
            <w:pPr>
              <w:spacing w:after="0"/>
              <w:rPr>
                <w:sz w:val="21"/>
                <w:szCs w:val="21"/>
                <w:color w:val="auto"/>
              </w:rPr>
            </w:pPr>
          </w:p>
        </w:tc>
      </w:tr>
      <w:tr>
        <w:trPr>
          <w:trHeight w:val="245"/>
        </w:trPr>
        <w:tc>
          <w:tcPr>
            <w:tcW w:w="6400" w:type="dxa"/>
            <w:vAlign w:val="bottom"/>
            <w:tcBorders>
              <w:bottom w:val="single" w:sz="8" w:color="E7E7E7"/>
            </w:tcBorders>
            <w:gridSpan w:val="2"/>
          </w:tcPr>
          <w:p>
            <w:pPr>
              <w:ind w:left="200"/>
              <w:spacing w:after="0"/>
              <w:rPr>
                <w:sz w:val="20"/>
                <w:szCs w:val="20"/>
                <w:color w:val="auto"/>
              </w:rPr>
            </w:pPr>
            <w:r>
              <w:rPr>
                <w:rFonts w:ascii="Times New Roman" w:cs="Times New Roman" w:eastAsia="Times New Roman" w:hAnsi="Times New Roman"/>
                <w:sz w:val="20"/>
                <w:szCs w:val="20"/>
                <w:color w:val="auto"/>
              </w:rPr>
              <w:t>Clinical operation activities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24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tcBorders>
              <w:bottom w:val="single" w:sz="8" w:color="E7E7E7"/>
            </w:tcBorders>
          </w:tcPr>
          <w:p>
            <w:pPr>
              <w:spacing w:after="0"/>
              <w:rPr>
                <w:sz w:val="21"/>
                <w:szCs w:val="21"/>
                <w:color w:val="auto"/>
              </w:rPr>
            </w:pPr>
          </w:p>
        </w:tc>
      </w:tr>
      <w:tr>
        <w:trPr>
          <w:trHeight w:val="233"/>
        </w:trPr>
        <w:tc>
          <w:tcPr>
            <w:tcW w:w="6380" w:type="dxa"/>
            <w:vAlign w:val="bottom"/>
            <w:shd w:val="clear" w:color="auto" w:fill="E7E7E7"/>
          </w:tcPr>
          <w:p>
            <w:pPr>
              <w:ind w:left="300"/>
              <w:spacing w:after="0"/>
              <w:rPr>
                <w:sz w:val="20"/>
                <w:szCs w:val="20"/>
                <w:color w:val="auto"/>
              </w:rPr>
            </w:pPr>
            <w:r>
              <w:rPr>
                <w:rFonts w:ascii="Times New Roman" w:cs="Times New Roman" w:eastAsia="Times New Roman" w:hAnsi="Times New Roman"/>
                <w:sz w:val="20"/>
                <w:szCs w:val="20"/>
                <w:color w:val="auto"/>
              </w:rPr>
              <w:t>Total LTI-01 program-related expenses</w:t>
            </w:r>
          </w:p>
        </w:tc>
        <w:tc>
          <w:tcPr>
            <w:tcW w:w="20" w:type="dxa"/>
            <w:vAlign w:val="bottom"/>
            <w:shd w:val="clear" w:color="auto" w:fill="E7E7E7"/>
          </w:tcPr>
          <w:p>
            <w:pPr>
              <w:spacing w:after="0"/>
              <w:rPr>
                <w:sz w:val="20"/>
                <w:szCs w:val="20"/>
                <w:color w:val="auto"/>
              </w:rPr>
            </w:pPr>
          </w:p>
        </w:tc>
        <w:tc>
          <w:tcPr>
            <w:tcW w:w="120" w:type="dxa"/>
            <w:vAlign w:val="bottom"/>
            <w:shd w:val="clear" w:color="auto" w:fill="E7E7E7"/>
          </w:tcPr>
          <w:p>
            <w:pPr>
              <w:spacing w:after="0"/>
              <w:rPr>
                <w:sz w:val="20"/>
                <w:szCs w:val="20"/>
                <w:color w:val="auto"/>
              </w:rPr>
            </w:pPr>
          </w:p>
        </w:tc>
        <w:tc>
          <w:tcPr>
            <w:tcW w:w="1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1,479</w:t>
            </w:r>
          </w:p>
        </w:tc>
        <w:tc>
          <w:tcPr>
            <w:tcW w:w="24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20" w:type="dxa"/>
            <w:vAlign w:val="bottom"/>
            <w:shd w:val="clear" w:color="auto" w:fill="E7E7E7"/>
          </w:tcPr>
          <w:p>
            <w:pPr>
              <w:spacing w:after="0"/>
              <w:rPr>
                <w:sz w:val="20"/>
                <w:szCs w:val="20"/>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3,614</w:t>
            </w:r>
          </w:p>
        </w:tc>
        <w:tc>
          <w:tcPr>
            <w:tcW w:w="80" w:type="dxa"/>
            <w:vAlign w:val="bottom"/>
            <w:shd w:val="clear" w:color="auto" w:fill="E7E7E7"/>
          </w:tcPr>
          <w:p>
            <w:pPr>
              <w:spacing w:after="0"/>
              <w:rPr>
                <w:sz w:val="20"/>
                <w:szCs w:val="20"/>
                <w:color w:val="auto"/>
              </w:rPr>
            </w:pPr>
          </w:p>
        </w:tc>
      </w:tr>
      <w:tr>
        <w:trPr>
          <w:trHeight w:val="244"/>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LTI-03 program-related expenses: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8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Preclinical study costs</w:t>
            </w: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1,935</w:t>
            </w:r>
          </w:p>
        </w:tc>
        <w:tc>
          <w:tcPr>
            <w:tcW w:w="80" w:type="dxa"/>
            <w:vAlign w:val="bottom"/>
            <w:shd w:val="clear" w:color="auto" w:fill="E7E7E7"/>
          </w:tcPr>
          <w:p>
            <w:pPr>
              <w:spacing w:after="0"/>
              <w:rPr>
                <w:sz w:val="21"/>
                <w:szCs w:val="21"/>
                <w:color w:val="auto"/>
              </w:rPr>
            </w:pPr>
          </w:p>
        </w:tc>
      </w:tr>
      <w:tr>
        <w:trPr>
          <w:trHeight w:val="245"/>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CMC activities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2,451</w:t>
            </w:r>
          </w:p>
        </w:tc>
        <w:tc>
          <w:tcPr>
            <w:tcW w:w="80" w:type="dxa"/>
            <w:vAlign w:val="bottom"/>
          </w:tcPr>
          <w:p>
            <w:pPr>
              <w:spacing w:after="0"/>
              <w:rPr>
                <w:sz w:val="21"/>
                <w:szCs w:val="21"/>
                <w:color w:val="auto"/>
              </w:rPr>
            </w:pPr>
          </w:p>
        </w:tc>
      </w:tr>
      <w:tr>
        <w:trPr>
          <w:trHeight w:val="244"/>
        </w:trPr>
        <w:tc>
          <w:tcPr>
            <w:tcW w:w="638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Clinical operation activities</w:t>
            </w: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11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4,285</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3,913</w:t>
            </w:r>
          </w:p>
        </w:tc>
        <w:tc>
          <w:tcPr>
            <w:tcW w:w="80" w:type="dxa"/>
            <w:vAlign w:val="bottom"/>
            <w:shd w:val="clear" w:color="auto" w:fill="E7E7E7"/>
          </w:tcPr>
          <w:p>
            <w:pPr>
              <w:spacing w:after="0"/>
              <w:rPr>
                <w:sz w:val="21"/>
                <w:szCs w:val="21"/>
                <w:color w:val="auto"/>
              </w:rPr>
            </w:pPr>
          </w:p>
        </w:tc>
      </w:tr>
      <w:tr>
        <w:trPr>
          <w:trHeight w:val="234"/>
        </w:trPr>
        <w:tc>
          <w:tcPr>
            <w:tcW w:w="6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 LTI-03 program-related expenses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8,299</w:t>
            </w:r>
          </w:p>
        </w:tc>
        <w:tc>
          <w:tcPr>
            <w:tcW w:w="80" w:type="dxa"/>
            <w:vAlign w:val="bottom"/>
          </w:tcPr>
          <w:p>
            <w:pPr>
              <w:spacing w:after="0"/>
              <w:rPr>
                <w:sz w:val="20"/>
                <w:szCs w:val="20"/>
                <w:color w:val="auto"/>
              </w:rPr>
            </w:pPr>
          </w:p>
        </w:tc>
      </w:tr>
      <w:tr>
        <w:trPr>
          <w:trHeight w:val="244"/>
        </w:trPr>
        <w:tc>
          <w:tcPr>
            <w:tcW w:w="6380" w:type="dxa"/>
            <w:vAlign w:val="bottom"/>
            <w:shd w:val="clear" w:color="auto" w:fill="E7E7E7"/>
          </w:tcPr>
          <w:p>
            <w:pPr>
              <w:ind w:left="100"/>
              <w:spacing w:after="0"/>
              <w:rPr>
                <w:sz w:val="20"/>
                <w:szCs w:val="20"/>
                <w:color w:val="auto"/>
              </w:rPr>
            </w:pPr>
            <w:r>
              <w:rPr>
                <w:rFonts w:ascii="Times New Roman" w:cs="Times New Roman" w:eastAsia="Times New Roman" w:hAnsi="Times New Roman"/>
                <w:sz w:val="20"/>
                <w:szCs w:val="20"/>
                <w:color w:val="auto"/>
              </w:rPr>
              <w:t>Other program-related expenses</w:t>
            </w: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shd w:val="clear" w:color="auto" w:fill="E7E7E7"/>
          </w:tcPr>
          <w:p>
            <w:pPr>
              <w:spacing w:after="0"/>
              <w:rPr>
                <w:sz w:val="21"/>
                <w:szCs w:val="21"/>
                <w:color w:val="auto"/>
              </w:rPr>
            </w:pPr>
          </w:p>
        </w:tc>
      </w:tr>
      <w:tr>
        <w:trPr>
          <w:trHeight w:val="244"/>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Employee related expenses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80" w:type="dxa"/>
            <w:vAlign w:val="bottom"/>
          </w:tcPr>
          <w:p>
            <w:pPr>
              <w:spacing w:after="0"/>
              <w:rPr>
                <w:sz w:val="21"/>
                <w:szCs w:val="21"/>
                <w:color w:val="auto"/>
              </w:rPr>
            </w:pPr>
          </w:p>
        </w:tc>
      </w:tr>
      <w:tr>
        <w:trPr>
          <w:trHeight w:val="245"/>
        </w:trPr>
        <w:tc>
          <w:tcPr>
            <w:tcW w:w="6380" w:type="dxa"/>
            <w:vAlign w:val="bottom"/>
            <w:shd w:val="clear" w:color="auto" w:fill="E7E7E7"/>
          </w:tcPr>
          <w:p>
            <w:pPr>
              <w:ind w:left="100"/>
              <w:spacing w:after="0"/>
              <w:rPr>
                <w:sz w:val="20"/>
                <w:szCs w:val="20"/>
                <w:color w:val="auto"/>
              </w:rPr>
            </w:pPr>
            <w:r>
              <w:rPr>
                <w:rFonts w:ascii="Times New Roman" w:cs="Times New Roman" w:eastAsia="Times New Roman" w:hAnsi="Times New Roman"/>
                <w:sz w:val="20"/>
                <w:szCs w:val="20"/>
                <w:color w:val="auto"/>
              </w:rPr>
              <w:t>Professional fees for services</w:t>
            </w: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shd w:val="clear" w:color="auto" w:fill="E7E7E7"/>
          </w:tcPr>
          <w:p>
            <w:pPr>
              <w:spacing w:after="0"/>
              <w:rPr>
                <w:sz w:val="21"/>
                <w:szCs w:val="21"/>
                <w:color w:val="auto"/>
              </w:rPr>
            </w:pPr>
          </w:p>
        </w:tc>
      </w:tr>
      <w:tr>
        <w:trPr>
          <w:trHeight w:val="244"/>
        </w:trPr>
        <w:tc>
          <w:tcPr>
            <w:tcW w:w="6400" w:type="dxa"/>
            <w:vAlign w:val="bottom"/>
            <w:tcBorders>
              <w:bottom w:val="single" w:sz="8" w:color="E7E7E7"/>
            </w:tcBorders>
            <w:gridSpan w:val="2"/>
          </w:tcPr>
          <w:p>
            <w:pPr>
              <w:ind w:left="100"/>
              <w:spacing w:after="0"/>
              <w:rPr>
                <w:sz w:val="20"/>
                <w:szCs w:val="20"/>
                <w:color w:val="auto"/>
              </w:rPr>
            </w:pPr>
            <w:r>
              <w:rPr>
                <w:rFonts w:ascii="Times New Roman" w:cs="Times New Roman" w:eastAsia="Times New Roman" w:hAnsi="Times New Roman"/>
                <w:sz w:val="20"/>
                <w:szCs w:val="20"/>
                <w:color w:val="auto"/>
              </w:rPr>
              <w:t>Facilities and other expenses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4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Borders>
              <w:bottom w:val="single" w:sz="8" w:color="E7E7E7"/>
            </w:tcBorders>
          </w:tcPr>
          <w:p>
            <w:pPr>
              <w:spacing w:after="0"/>
              <w:rPr>
                <w:sz w:val="21"/>
                <w:szCs w:val="21"/>
                <w:color w:val="auto"/>
              </w:rPr>
            </w:pPr>
          </w:p>
        </w:tc>
      </w:tr>
      <w:tr>
        <w:trPr>
          <w:trHeight w:val="234"/>
        </w:trPr>
        <w:tc>
          <w:tcPr>
            <w:tcW w:w="638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20" w:type="dxa"/>
            <w:vAlign w:val="bottom"/>
            <w:shd w:val="clear" w:color="auto" w:fill="E7E7E7"/>
          </w:tcPr>
          <w:p>
            <w:pPr>
              <w:spacing w:after="0"/>
              <w:rPr>
                <w:sz w:val="20"/>
                <w:szCs w:val="20"/>
                <w:color w:val="auto"/>
              </w:rPr>
            </w:pPr>
          </w:p>
        </w:tc>
        <w:tc>
          <w:tcPr>
            <w:tcW w:w="120" w:type="dxa"/>
            <w:vAlign w:val="bottom"/>
            <w:shd w:val="clear" w:color="auto" w:fill="E7E7E7"/>
          </w:tcPr>
          <w:p>
            <w:pPr>
              <w:spacing w:after="0"/>
              <w:rPr>
                <w:sz w:val="20"/>
                <w:szCs w:val="20"/>
                <w:color w:val="auto"/>
              </w:rPr>
            </w:pPr>
          </w:p>
        </w:tc>
        <w:tc>
          <w:tcPr>
            <w:tcW w:w="1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11,029</w:t>
            </w:r>
          </w:p>
        </w:tc>
        <w:tc>
          <w:tcPr>
            <w:tcW w:w="240" w:type="dxa"/>
            <w:vAlign w:val="bottom"/>
            <w:shd w:val="clear" w:color="auto" w:fill="E7E7E7"/>
          </w:tcPr>
          <w:p>
            <w:pPr>
              <w:spacing w:after="0"/>
              <w:rPr>
                <w:sz w:val="20"/>
                <w:szCs w:val="20"/>
                <w:color w:val="auto"/>
              </w:rPr>
            </w:pPr>
          </w:p>
        </w:tc>
        <w:tc>
          <w:tcPr>
            <w:tcW w:w="20" w:type="dxa"/>
            <w:vAlign w:val="bottom"/>
            <w:shd w:val="clear" w:color="auto" w:fill="E7E7E7"/>
          </w:tcPr>
          <w:p>
            <w:pPr>
              <w:spacing w:after="0"/>
              <w:rPr>
                <w:sz w:val="20"/>
                <w:szCs w:val="20"/>
                <w:color w:val="auto"/>
              </w:rPr>
            </w:pPr>
          </w:p>
        </w:tc>
        <w:tc>
          <w:tcPr>
            <w:tcW w:w="120" w:type="dxa"/>
            <w:vAlign w:val="bottom"/>
            <w:shd w:val="clear" w:color="auto" w:fill="E7E7E7"/>
          </w:tcPr>
          <w:p>
            <w:pPr>
              <w:spacing w:after="0"/>
              <w:rPr>
                <w:sz w:val="20"/>
                <w:szCs w:val="20"/>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14,248</w:t>
            </w:r>
          </w:p>
        </w:tc>
        <w:tc>
          <w:tcPr>
            <w:tcW w:w="80" w:type="dxa"/>
            <w:vAlign w:val="bottom"/>
            <w:shd w:val="clear" w:color="auto" w:fill="E7E7E7"/>
          </w:tcPr>
          <w:p>
            <w:pPr>
              <w:spacing w:after="0"/>
              <w:rPr>
                <w:sz w:val="20"/>
                <w:szCs w:val="20"/>
                <w:color w:val="auto"/>
              </w:rPr>
            </w:pPr>
          </w:p>
        </w:tc>
      </w:tr>
      <w:tr>
        <w:trPr>
          <w:trHeight w:val="244"/>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80" w:type="dxa"/>
            <w:vAlign w:val="bottom"/>
            <w:shd w:val="clear" w:color="auto" w:fill="E7E7E7"/>
          </w:tcPr>
          <w:p>
            <w:pPr>
              <w:ind w:left="100"/>
              <w:spacing w:after="0"/>
              <w:rPr>
                <w:sz w:val="20"/>
                <w:szCs w:val="20"/>
                <w:color w:val="auto"/>
              </w:rPr>
            </w:pPr>
            <w:r>
              <w:rPr>
                <w:rFonts w:ascii="Times New Roman" w:cs="Times New Roman" w:eastAsia="Times New Roman" w:hAnsi="Times New Roman"/>
                <w:sz w:val="20"/>
                <w:szCs w:val="20"/>
                <w:color w:val="auto"/>
              </w:rPr>
              <w:t>Employee related expenses</w:t>
            </w: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3,748</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5,465</w:t>
            </w:r>
          </w:p>
        </w:tc>
        <w:tc>
          <w:tcPr>
            <w:tcW w:w="80" w:type="dxa"/>
            <w:vAlign w:val="bottom"/>
            <w:shd w:val="clear" w:color="auto" w:fill="E7E7E7"/>
          </w:tcPr>
          <w:p>
            <w:pPr>
              <w:spacing w:after="0"/>
              <w:rPr>
                <w:sz w:val="21"/>
                <w:szCs w:val="21"/>
                <w:color w:val="auto"/>
              </w:rPr>
            </w:pPr>
          </w:p>
        </w:tc>
      </w:tr>
      <w:tr>
        <w:trPr>
          <w:trHeight w:val="245"/>
        </w:trPr>
        <w:tc>
          <w:tcPr>
            <w:tcW w:w="63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Professional fees for services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6,257</w:t>
            </w:r>
          </w:p>
        </w:tc>
        <w:tc>
          <w:tcPr>
            <w:tcW w:w="80" w:type="dxa"/>
            <w:vAlign w:val="bottom"/>
          </w:tcPr>
          <w:p>
            <w:pPr>
              <w:spacing w:after="0"/>
              <w:rPr>
                <w:sz w:val="21"/>
                <w:szCs w:val="21"/>
                <w:color w:val="auto"/>
              </w:rPr>
            </w:pPr>
          </w:p>
        </w:tc>
      </w:tr>
      <w:tr>
        <w:trPr>
          <w:trHeight w:val="244"/>
        </w:trPr>
        <w:tc>
          <w:tcPr>
            <w:tcW w:w="6380" w:type="dxa"/>
            <w:vAlign w:val="bottom"/>
            <w:shd w:val="clear" w:color="auto" w:fill="E7E7E7"/>
          </w:tcPr>
          <w:p>
            <w:pPr>
              <w:ind w:left="100"/>
              <w:spacing w:after="0"/>
              <w:rPr>
                <w:sz w:val="20"/>
                <w:szCs w:val="20"/>
                <w:color w:val="auto"/>
              </w:rPr>
            </w:pPr>
            <w:r>
              <w:rPr>
                <w:rFonts w:ascii="Times New Roman" w:cs="Times New Roman" w:eastAsia="Times New Roman" w:hAnsi="Times New Roman"/>
                <w:sz w:val="20"/>
                <w:szCs w:val="20"/>
                <w:color w:val="auto"/>
              </w:rPr>
              <w:t>Facilities and other expenses</w:t>
            </w: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11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80" w:type="dxa"/>
            <w:vAlign w:val="bottom"/>
            <w:shd w:val="clear" w:color="auto" w:fill="E7E7E7"/>
          </w:tcPr>
          <w:p>
            <w:pPr>
              <w:spacing w:after="0"/>
              <w:rPr>
                <w:sz w:val="21"/>
                <w:szCs w:val="21"/>
                <w:color w:val="auto"/>
              </w:rPr>
            </w:pPr>
          </w:p>
        </w:tc>
      </w:tr>
      <w:tr>
        <w:trPr>
          <w:trHeight w:val="234"/>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general and administrative expenses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13,864</w:t>
            </w:r>
          </w:p>
        </w:tc>
        <w:tc>
          <w:tcPr>
            <w:tcW w:w="80" w:type="dxa"/>
            <w:vAlign w:val="bottom"/>
          </w:tcPr>
          <w:p>
            <w:pPr>
              <w:spacing w:after="0"/>
              <w:rPr>
                <w:sz w:val="20"/>
                <w:szCs w:val="20"/>
                <w:color w:val="auto"/>
              </w:rPr>
            </w:pPr>
          </w:p>
        </w:tc>
      </w:tr>
      <w:tr>
        <w:trPr>
          <w:trHeight w:val="244"/>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Impairment loss on intangible assets</w:t>
            </w: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1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28,700</w:t>
            </w:r>
          </w:p>
        </w:tc>
        <w:tc>
          <w:tcPr>
            <w:tcW w:w="24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12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37,000</w:t>
            </w:r>
          </w:p>
        </w:tc>
        <w:tc>
          <w:tcPr>
            <w:tcW w:w="80" w:type="dxa"/>
            <w:vAlign w:val="bottom"/>
            <w:shd w:val="clear" w:color="auto" w:fill="E7E7E7"/>
          </w:tcPr>
          <w:p>
            <w:pPr>
              <w:spacing w:after="0"/>
              <w:rPr>
                <w:sz w:val="21"/>
                <w:szCs w:val="21"/>
                <w:color w:val="auto"/>
              </w:rPr>
            </w:pPr>
          </w:p>
        </w:tc>
      </w:tr>
      <w:tr>
        <w:trPr>
          <w:trHeight w:val="244"/>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12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(685 )</w:t>
            </w:r>
          </w:p>
        </w:tc>
      </w:tr>
      <w:tr>
        <w:trPr>
          <w:trHeight w:val="245"/>
        </w:trPr>
        <w:tc>
          <w:tcPr>
            <w:tcW w:w="63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11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240" w:type="dxa"/>
            <w:vAlign w:val="bottom"/>
            <w:shd w:val="clear" w:color="auto" w:fill="E7E7E7"/>
          </w:tcPr>
          <w:p>
            <w:pPr>
              <w:jc w:val="right"/>
              <w:ind w:right="60"/>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12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r>
      <w:tr>
        <w:trPr>
          <w:trHeight w:val="236"/>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Segment and consolidated 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(49,871</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(62,883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-3618230</wp:posOffset>
                </wp:positionV>
                <wp:extent cx="59436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4.8999pt" to="468pt,-284.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-2682875</wp:posOffset>
                </wp:positionV>
                <wp:extent cx="59436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1.2499pt" to="468pt,-21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-1120775</wp:posOffset>
                </wp:positionV>
                <wp:extent cx="59436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2499pt" to="468pt,-88.2499pt" o:allowincell="f" strokecolor="#FFFFFF" strokeweight="0.72pt"/>
            </w:pict>
          </mc:Fallback>
        </mc:AlternateConten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122"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 xml:space="preserve">On October 31, 2023, the Company acquired, in accordance with the terms of the Lung Acquisition Agreement, the stock of Lung. In accordance with ASC 805, </w:t>
      </w:r>
      <w:r>
        <w:rPr>
          <w:rFonts w:ascii="Times New Roman" w:cs="Times New Roman" w:eastAsia="Times New Roman" w:hAnsi="Times New Roman"/>
          <w:sz w:val="19"/>
          <w:szCs w:val="19"/>
          <w:i w:val="1"/>
          <w:iCs w:val="1"/>
          <w:color w:val="auto"/>
        </w:rPr>
        <w:t>Business Combination</w:t>
      </w:r>
      <w:r>
        <w:rPr>
          <w:rFonts w:ascii="Times New Roman" w:cs="Times New Roman" w:eastAsia="Times New Roman" w:hAnsi="Times New Roman"/>
          <w:sz w:val="19"/>
          <w:szCs w:val="19"/>
          <w:color w:val="auto"/>
        </w:rPr>
        <w:t xml:space="preserve">, recognition of deferred tax assets and liabilities is required for substantially all temporary differences and acquired tax carryforwards and credits. The Company has computed estimated temporary differences and acquired tax carryforwards and credits as of the transaction date. The Company will not have tax basis in intangible assets recorded as part of the purchase. For accounting purposes, the intangible assets will not be amortized and subject to impairment review and testing. Though the tax effects may be delayed indefinitely, ASC 740, </w:t>
      </w:r>
      <w:r>
        <w:rPr>
          <w:rFonts w:ascii="Times New Roman" w:cs="Times New Roman" w:eastAsia="Times New Roman" w:hAnsi="Times New Roman"/>
          <w:sz w:val="19"/>
          <w:szCs w:val="19"/>
          <w:i w:val="1"/>
          <w:iCs w:val="1"/>
          <w:color w:val="auto"/>
        </w:rPr>
        <w:t>Accounting for Income Taxes,</w:t>
      </w:r>
      <w:r>
        <w:rPr>
          <w:rFonts w:ascii="Times New Roman" w:cs="Times New Roman" w:eastAsia="Times New Roman" w:hAnsi="Times New Roman"/>
          <w:sz w:val="19"/>
          <w:szCs w:val="19"/>
          <w:color w:val="auto"/>
        </w:rPr>
        <w:t xml:space="preserve"> states that “deferred tax liabilities may not be eliminated or reduced because a reporting entity may be able to delay the settlement of those liabilities by delaying the events that would cause taxable temporary differences to reverse.” As such, the Company has recorded a deferred tax liability for the portion of the liability that cannot be offset with indefinite lived deferred tax assets.</w:t>
      </w:r>
    </w:p>
    <w:p>
      <w:pPr>
        <w:spacing w:after="0" w:line="71"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19"/>
          <w:szCs w:val="19"/>
          <w:color w:val="auto"/>
        </w:rPr>
        <w:t>The Company reported an income tax benefit of $712 for the year ended December 31, 2025. The reported amount of income tax expense for the years differs from the amount that would result from applying domestic federal statutory tax rates to pretax losses primarily because of changes in valuation allowance and indefinite lived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F-34</w:t>
      </w:r>
    </w:p>
    <w:p>
      <w:pPr>
        <w:sectPr>
          <w:pgSz w:w="12240" w:h="15840" w:orient="portrait"/>
          <w:cols w:equalWidth="0" w:num="1">
            <w:col w:w="9360"/>
          </w:cols>
          <w:pgMar w:left="1440" w:top="1418" w:right="1440" w:bottom="177" w:gutter="0" w:footer="0" w:header="0"/>
        </w:sectPr>
      </w:pPr>
    </w:p>
    <w:bookmarkStart w:id="142" w:name="page143"/>
    <w:bookmarkEnd w:id="142"/>
    <w:p>
      <w:pPr>
        <w:ind w:left="480"/>
        <w:spacing w:after="0"/>
        <w:rPr>
          <w:sz w:val="20"/>
          <w:szCs w:val="20"/>
          <w:color w:val="auto"/>
        </w:rPr>
      </w:pPr>
      <w:r>
        <w:rPr>
          <w:rFonts w:ascii="Times New Roman" w:cs="Times New Roman" w:eastAsia="Times New Roman" w:hAnsi="Times New Roman"/>
          <w:sz w:val="20"/>
          <w:szCs w:val="20"/>
          <w:color w:val="auto"/>
        </w:rPr>
        <w:t>Income tax benefit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3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623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3"/>
        </w:trPr>
        <w:tc>
          <w:tcPr>
            <w:tcW w:w="6230" w:type="dxa"/>
            <w:vAlign w:val="bottom"/>
            <w:tcBorders>
              <w:top w:val="single" w:sz="8" w:color="E7E7E7"/>
            </w:tcBorders>
            <w:shd w:val="clear" w:color="auto" w:fill="E7E7E7"/>
          </w:tcPr>
          <w:p>
            <w:pPr>
              <w:spacing w:after="0"/>
              <w:rPr>
                <w:sz w:val="20"/>
                <w:szCs w:val="20"/>
                <w:color w:val="auto"/>
              </w:rPr>
            </w:pPr>
            <w:r>
              <w:rPr>
                <w:rFonts w:ascii="Times New Roman" w:cs="Times New Roman" w:eastAsia="Times New Roman" w:hAnsi="Times New Roman"/>
                <w:sz w:val="20"/>
                <w:szCs w:val="20"/>
                <w:color w:val="auto"/>
              </w:rPr>
              <w:t>Current tax (provision) benefit:</w:t>
            </w:r>
          </w:p>
        </w:tc>
        <w:tc>
          <w:tcPr>
            <w:tcW w:w="150" w:type="dxa"/>
            <w:vAlign w:val="bottom"/>
            <w:tcBorders>
              <w:top w:val="single" w:sz="8" w:color="E7E7E7"/>
            </w:tcBorders>
            <w:shd w:val="clear" w:color="auto" w:fill="E7E7E7"/>
          </w:tcPr>
          <w:p>
            <w:pPr>
              <w:spacing w:after="0"/>
              <w:rPr>
                <w:sz w:val="20"/>
                <w:szCs w:val="20"/>
                <w:color w:val="auto"/>
              </w:rPr>
            </w:pPr>
          </w:p>
        </w:tc>
        <w:tc>
          <w:tcPr>
            <w:tcW w:w="20" w:type="dxa"/>
            <w:vAlign w:val="bottom"/>
            <w:tcBorders>
              <w:top w:val="single" w:sz="8" w:color="E7E7E7"/>
            </w:tcBorders>
            <w:shd w:val="clear" w:color="auto" w:fill="E7E7E7"/>
          </w:tcPr>
          <w:p>
            <w:pPr>
              <w:spacing w:after="0"/>
              <w:rPr>
                <w:sz w:val="20"/>
                <w:szCs w:val="20"/>
                <w:color w:val="auto"/>
              </w:rPr>
            </w:pPr>
          </w:p>
        </w:tc>
        <w:tc>
          <w:tcPr>
            <w:tcW w:w="120" w:type="dxa"/>
            <w:vAlign w:val="bottom"/>
            <w:tcBorders>
              <w:top w:val="single" w:sz="8" w:color="auto"/>
            </w:tcBorders>
            <w:shd w:val="clear" w:color="auto" w:fill="E7E7E7"/>
          </w:tcPr>
          <w:p>
            <w:pPr>
              <w:spacing w:after="0"/>
              <w:rPr>
                <w:sz w:val="20"/>
                <w:szCs w:val="20"/>
                <w:color w:val="auto"/>
              </w:rPr>
            </w:pPr>
          </w:p>
        </w:tc>
        <w:tc>
          <w:tcPr>
            <w:tcW w:w="700" w:type="dxa"/>
            <w:vAlign w:val="bottom"/>
            <w:tcBorders>
              <w:top w:val="single" w:sz="8" w:color="auto"/>
            </w:tcBorders>
            <w:shd w:val="clear" w:color="auto" w:fill="E7E7E7"/>
          </w:tcPr>
          <w:p>
            <w:pPr>
              <w:spacing w:after="0"/>
              <w:rPr>
                <w:sz w:val="20"/>
                <w:szCs w:val="20"/>
                <w:color w:val="auto"/>
              </w:rPr>
            </w:pPr>
          </w:p>
        </w:tc>
        <w:tc>
          <w:tcPr>
            <w:tcW w:w="480" w:type="dxa"/>
            <w:vAlign w:val="bottom"/>
            <w:tcBorders>
              <w:top w:val="single" w:sz="8" w:color="auto"/>
            </w:tcBorders>
            <w:shd w:val="clear" w:color="auto" w:fill="E7E7E7"/>
          </w:tcPr>
          <w:p>
            <w:pPr>
              <w:spacing w:after="0"/>
              <w:rPr>
                <w:sz w:val="20"/>
                <w:szCs w:val="20"/>
                <w:color w:val="auto"/>
              </w:rPr>
            </w:pPr>
          </w:p>
        </w:tc>
        <w:tc>
          <w:tcPr>
            <w:tcW w:w="80" w:type="dxa"/>
            <w:vAlign w:val="bottom"/>
            <w:tcBorders>
              <w:top w:val="single" w:sz="8" w:color="E7E7E7"/>
            </w:tcBorders>
            <w:shd w:val="clear" w:color="auto" w:fill="E7E7E7"/>
          </w:tcPr>
          <w:p>
            <w:pPr>
              <w:spacing w:after="0"/>
              <w:rPr>
                <w:sz w:val="20"/>
                <w:szCs w:val="20"/>
                <w:color w:val="auto"/>
              </w:rPr>
            </w:pPr>
          </w:p>
        </w:tc>
        <w:tc>
          <w:tcPr>
            <w:tcW w:w="160" w:type="dxa"/>
            <w:vAlign w:val="bottom"/>
            <w:tcBorders>
              <w:top w:val="single" w:sz="8" w:color="E7E7E7"/>
            </w:tcBorders>
            <w:shd w:val="clear" w:color="auto" w:fill="E7E7E7"/>
          </w:tcPr>
          <w:p>
            <w:pPr>
              <w:spacing w:after="0"/>
              <w:rPr>
                <w:sz w:val="20"/>
                <w:szCs w:val="20"/>
                <w:color w:val="auto"/>
              </w:rPr>
            </w:pPr>
          </w:p>
        </w:tc>
        <w:tc>
          <w:tcPr>
            <w:tcW w:w="20" w:type="dxa"/>
            <w:vAlign w:val="bottom"/>
            <w:tcBorders>
              <w:top w:val="single" w:sz="8" w:color="E7E7E7"/>
            </w:tcBorders>
            <w:shd w:val="clear" w:color="auto" w:fill="E7E7E7"/>
          </w:tcPr>
          <w:p>
            <w:pPr>
              <w:spacing w:after="0"/>
              <w:rPr>
                <w:sz w:val="20"/>
                <w:szCs w:val="20"/>
                <w:color w:val="auto"/>
              </w:rPr>
            </w:pPr>
          </w:p>
        </w:tc>
        <w:tc>
          <w:tcPr>
            <w:tcW w:w="820" w:type="dxa"/>
            <w:vAlign w:val="bottom"/>
            <w:tcBorders>
              <w:top w:val="single" w:sz="8" w:color="auto"/>
            </w:tcBorders>
            <w:shd w:val="clear" w:color="auto" w:fill="E7E7E7"/>
          </w:tcPr>
          <w:p>
            <w:pPr>
              <w:spacing w:after="0"/>
              <w:rPr>
                <w:sz w:val="20"/>
                <w:szCs w:val="20"/>
                <w:color w:val="auto"/>
              </w:rPr>
            </w:pPr>
          </w:p>
        </w:tc>
        <w:tc>
          <w:tcPr>
            <w:tcW w:w="500" w:type="dxa"/>
            <w:vAlign w:val="bottom"/>
            <w:tcBorders>
              <w:top w:val="single" w:sz="8" w:color="auto"/>
            </w:tcBorders>
            <w:shd w:val="clear" w:color="auto" w:fill="E7E7E7"/>
          </w:tcPr>
          <w:p>
            <w:pPr>
              <w:spacing w:after="0"/>
              <w:rPr>
                <w:sz w:val="20"/>
                <w:szCs w:val="20"/>
                <w:color w:val="auto"/>
              </w:rPr>
            </w:pPr>
          </w:p>
        </w:tc>
        <w:tc>
          <w:tcPr>
            <w:tcW w:w="80" w:type="dxa"/>
            <w:vAlign w:val="bottom"/>
            <w:tcBorders>
              <w:top w:val="single" w:sz="8" w:color="E7E7E7"/>
            </w:tcBorders>
            <w:shd w:val="clear" w:color="auto" w:fill="E7E7E7"/>
          </w:tcPr>
          <w:p>
            <w:pPr>
              <w:spacing w:after="0"/>
              <w:rPr>
                <w:sz w:val="20"/>
                <w:szCs w:val="20"/>
                <w:color w:val="auto"/>
              </w:rPr>
            </w:pPr>
          </w:p>
        </w:tc>
      </w:tr>
      <w:tr>
        <w:trPr>
          <w:trHeight w:val="244"/>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3"/>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45"/>
        </w:trPr>
        <w:tc>
          <w:tcPr>
            <w:tcW w:w="623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700" w:type="dxa"/>
            <w:vAlign w:val="bottom"/>
            <w:shd w:val="clear" w:color="auto" w:fill="E7E7E7"/>
          </w:tcPr>
          <w:p>
            <w:pPr>
              <w:spacing w:after="0"/>
              <w:rPr>
                <w:sz w:val="21"/>
                <w:szCs w:val="21"/>
                <w:color w:val="auto"/>
              </w:rPr>
            </w:pPr>
          </w:p>
        </w:tc>
        <w:tc>
          <w:tcPr>
            <w:tcW w:w="4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1"/>
                <w:szCs w:val="21"/>
                <w:color w:val="auto"/>
              </w:rPr>
            </w:pPr>
          </w:p>
        </w:tc>
        <w:tc>
          <w:tcPr>
            <w:tcW w:w="16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820" w:type="dxa"/>
            <w:vAlign w:val="bottom"/>
            <w:shd w:val="clear" w:color="auto" w:fill="E7E7E7"/>
          </w:tcPr>
          <w:p>
            <w:pPr>
              <w:spacing w:after="0"/>
              <w:rPr>
                <w:sz w:val="21"/>
                <w:szCs w:val="21"/>
                <w:color w:val="auto"/>
              </w:rPr>
            </w:pPr>
          </w:p>
        </w:tc>
        <w:tc>
          <w:tcPr>
            <w:tcW w:w="5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1"/>
                <w:szCs w:val="21"/>
                <w:color w:val="auto"/>
              </w:rPr>
            </w:pPr>
          </w:p>
        </w:tc>
      </w:tr>
      <w:tr>
        <w:trPr>
          <w:trHeight w:val="244"/>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34"/>
        </w:trPr>
        <w:tc>
          <w:tcPr>
            <w:tcW w:w="6230" w:type="dxa"/>
            <w:vAlign w:val="bottom"/>
            <w:tcBorders>
              <w:top w:val="single" w:sz="8" w:color="E7E7E7"/>
            </w:tcBorders>
            <w:shd w:val="clear" w:color="auto" w:fill="E7E7E7"/>
          </w:tcPr>
          <w:p>
            <w:pPr>
              <w:ind w:left="400"/>
              <w:spacing w:after="0"/>
              <w:rPr>
                <w:sz w:val="20"/>
                <w:szCs w:val="20"/>
                <w:color w:val="auto"/>
              </w:rPr>
            </w:pPr>
            <w:r>
              <w:rPr>
                <w:rFonts w:ascii="Times New Roman" w:cs="Times New Roman" w:eastAsia="Times New Roman" w:hAnsi="Times New Roman"/>
                <w:sz w:val="20"/>
                <w:szCs w:val="20"/>
                <w:color w:val="auto"/>
              </w:rPr>
              <w:t>Total current tax (provision) benefit</w:t>
            </w:r>
          </w:p>
        </w:tc>
        <w:tc>
          <w:tcPr>
            <w:tcW w:w="150" w:type="dxa"/>
            <w:vAlign w:val="bottom"/>
            <w:tcBorders>
              <w:top w:val="single" w:sz="8" w:color="E7E7E7"/>
            </w:tcBorders>
            <w:shd w:val="clear" w:color="auto" w:fill="E7E7E7"/>
          </w:tcPr>
          <w:p>
            <w:pPr>
              <w:spacing w:after="0"/>
              <w:rPr>
                <w:sz w:val="20"/>
                <w:szCs w:val="20"/>
                <w:color w:val="auto"/>
              </w:rPr>
            </w:pPr>
          </w:p>
        </w:tc>
        <w:tc>
          <w:tcPr>
            <w:tcW w:w="20" w:type="dxa"/>
            <w:vAlign w:val="bottom"/>
            <w:tcBorders>
              <w:top w:val="single" w:sz="8" w:color="E7E7E7"/>
            </w:tcBorders>
            <w:shd w:val="clear" w:color="auto" w:fill="E7E7E7"/>
          </w:tcPr>
          <w:p>
            <w:pPr>
              <w:spacing w:after="0"/>
              <w:rPr>
                <w:sz w:val="20"/>
                <w:szCs w:val="20"/>
                <w:color w:val="auto"/>
              </w:rPr>
            </w:pPr>
          </w:p>
        </w:tc>
        <w:tc>
          <w:tcPr>
            <w:tcW w:w="120" w:type="dxa"/>
            <w:vAlign w:val="bottom"/>
            <w:tcBorders>
              <w:top w:val="single" w:sz="8" w:color="auto"/>
            </w:tcBorders>
            <w:shd w:val="clear" w:color="auto" w:fill="E7E7E7"/>
          </w:tcPr>
          <w:p>
            <w:pPr>
              <w:spacing w:after="0"/>
              <w:rPr>
                <w:sz w:val="20"/>
                <w:szCs w:val="20"/>
                <w:color w:val="auto"/>
              </w:rPr>
            </w:pPr>
          </w:p>
        </w:tc>
        <w:tc>
          <w:tcPr>
            <w:tcW w:w="700" w:type="dxa"/>
            <w:vAlign w:val="bottom"/>
            <w:tcBorders>
              <w:top w:val="single" w:sz="8" w:color="auto"/>
            </w:tcBorders>
            <w:shd w:val="clear" w:color="auto" w:fill="E7E7E7"/>
          </w:tcPr>
          <w:p>
            <w:pPr>
              <w:spacing w:after="0"/>
              <w:rPr>
                <w:sz w:val="20"/>
                <w:szCs w:val="20"/>
                <w:color w:val="auto"/>
              </w:rPr>
            </w:pPr>
          </w:p>
        </w:tc>
        <w:tc>
          <w:tcPr>
            <w:tcW w:w="48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7E7E7"/>
            </w:tcBorders>
            <w:shd w:val="clear" w:color="auto" w:fill="E7E7E7"/>
          </w:tcPr>
          <w:p>
            <w:pPr>
              <w:spacing w:after="0"/>
              <w:rPr>
                <w:sz w:val="20"/>
                <w:szCs w:val="20"/>
                <w:color w:val="auto"/>
              </w:rPr>
            </w:pPr>
          </w:p>
        </w:tc>
        <w:tc>
          <w:tcPr>
            <w:tcW w:w="160" w:type="dxa"/>
            <w:vAlign w:val="bottom"/>
            <w:tcBorders>
              <w:top w:val="single" w:sz="8" w:color="E7E7E7"/>
            </w:tcBorders>
            <w:shd w:val="clear" w:color="auto" w:fill="E7E7E7"/>
          </w:tcPr>
          <w:p>
            <w:pPr>
              <w:spacing w:after="0"/>
              <w:rPr>
                <w:sz w:val="20"/>
                <w:szCs w:val="20"/>
                <w:color w:val="auto"/>
              </w:rPr>
            </w:pPr>
          </w:p>
        </w:tc>
        <w:tc>
          <w:tcPr>
            <w:tcW w:w="20" w:type="dxa"/>
            <w:vAlign w:val="bottom"/>
            <w:tcBorders>
              <w:top w:val="single" w:sz="8" w:color="E7E7E7"/>
            </w:tcBorders>
            <w:shd w:val="clear" w:color="auto" w:fill="E7E7E7"/>
          </w:tcPr>
          <w:p>
            <w:pPr>
              <w:spacing w:after="0"/>
              <w:rPr>
                <w:sz w:val="20"/>
                <w:szCs w:val="20"/>
                <w:color w:val="auto"/>
              </w:rPr>
            </w:pPr>
          </w:p>
        </w:tc>
        <w:tc>
          <w:tcPr>
            <w:tcW w:w="820" w:type="dxa"/>
            <w:vAlign w:val="bottom"/>
            <w:tcBorders>
              <w:top w:val="single" w:sz="8" w:color="auto"/>
            </w:tcBorders>
            <w:shd w:val="clear" w:color="auto" w:fill="E7E7E7"/>
          </w:tcPr>
          <w:p>
            <w:pPr>
              <w:spacing w:after="0"/>
              <w:rPr>
                <w:sz w:val="20"/>
                <w:szCs w:val="20"/>
                <w:color w:val="auto"/>
              </w:rPr>
            </w:pPr>
          </w:p>
        </w:tc>
        <w:tc>
          <w:tcPr>
            <w:tcW w:w="500" w:type="dxa"/>
            <w:vAlign w:val="bottom"/>
            <w:tcBorders>
              <w:top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7E7E7"/>
            </w:tcBorders>
            <w:shd w:val="clear" w:color="auto" w:fill="E7E7E7"/>
          </w:tcPr>
          <w:p>
            <w:pPr>
              <w:spacing w:after="0"/>
              <w:rPr>
                <w:sz w:val="20"/>
                <w:szCs w:val="20"/>
                <w:color w:val="auto"/>
              </w:rPr>
            </w:pPr>
          </w:p>
        </w:tc>
      </w:tr>
      <w:tr>
        <w:trPr>
          <w:trHeight w:val="244"/>
        </w:trPr>
        <w:tc>
          <w:tcPr>
            <w:tcW w:w="6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Deferred tax (provision) benefit:</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23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700" w:type="dxa"/>
            <w:vAlign w:val="bottom"/>
            <w:shd w:val="clear" w:color="auto" w:fill="E7E7E7"/>
          </w:tcPr>
          <w:p>
            <w:pPr>
              <w:spacing w:after="0"/>
              <w:rPr>
                <w:sz w:val="21"/>
                <w:szCs w:val="21"/>
                <w:color w:val="auto"/>
              </w:rPr>
            </w:pPr>
          </w:p>
        </w:tc>
        <w:tc>
          <w:tcPr>
            <w:tcW w:w="4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1,336</w:t>
            </w:r>
          </w:p>
        </w:tc>
        <w:tc>
          <w:tcPr>
            <w:tcW w:w="80" w:type="dxa"/>
            <w:vAlign w:val="bottom"/>
            <w:shd w:val="clear" w:color="auto" w:fill="E7E7E7"/>
          </w:tcPr>
          <w:p>
            <w:pPr>
              <w:spacing w:after="0"/>
              <w:rPr>
                <w:sz w:val="21"/>
                <w:szCs w:val="21"/>
                <w:color w:val="auto"/>
              </w:rPr>
            </w:pPr>
          </w:p>
        </w:tc>
        <w:tc>
          <w:tcPr>
            <w:tcW w:w="16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820" w:type="dxa"/>
            <w:vAlign w:val="bottom"/>
            <w:shd w:val="clear" w:color="auto" w:fill="E7E7E7"/>
          </w:tcPr>
          <w:p>
            <w:pPr>
              <w:spacing w:after="0"/>
              <w:rPr>
                <w:sz w:val="21"/>
                <w:szCs w:val="21"/>
                <w:color w:val="auto"/>
              </w:rPr>
            </w:pPr>
          </w:p>
        </w:tc>
        <w:tc>
          <w:tcPr>
            <w:tcW w:w="5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80" w:type="dxa"/>
            <w:vAlign w:val="bottom"/>
            <w:shd w:val="clear" w:color="auto" w:fill="E7E7E7"/>
          </w:tcPr>
          <w:p>
            <w:pPr>
              <w:spacing w:after="0"/>
              <w:rPr>
                <w:sz w:val="21"/>
                <w:szCs w:val="21"/>
                <w:color w:val="auto"/>
              </w:rPr>
            </w:pPr>
          </w:p>
        </w:tc>
      </w:tr>
      <w:tr>
        <w:trPr>
          <w:trHeight w:val="244"/>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(624 )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45"/>
        </w:trPr>
        <w:tc>
          <w:tcPr>
            <w:tcW w:w="623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5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700" w:type="dxa"/>
            <w:vAlign w:val="bottom"/>
            <w:tcBorders>
              <w:bottom w:val="single" w:sz="8" w:color="auto"/>
            </w:tcBorders>
            <w:shd w:val="clear" w:color="auto" w:fill="E7E7E7"/>
          </w:tcPr>
          <w:p>
            <w:pPr>
              <w:spacing w:after="0"/>
              <w:rPr>
                <w:sz w:val="21"/>
                <w:szCs w:val="21"/>
                <w:color w:val="auto"/>
              </w:rPr>
            </w:pPr>
          </w:p>
        </w:tc>
        <w:tc>
          <w:tcPr>
            <w:tcW w:w="4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1"/>
                <w:szCs w:val="21"/>
                <w:color w:val="auto"/>
              </w:rPr>
            </w:pPr>
          </w:p>
        </w:tc>
        <w:tc>
          <w:tcPr>
            <w:tcW w:w="16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820" w:type="dxa"/>
            <w:vAlign w:val="bottom"/>
            <w:tcBorders>
              <w:bottom w:val="single" w:sz="8" w:color="auto"/>
            </w:tcBorders>
            <w:shd w:val="clear" w:color="auto" w:fill="E7E7E7"/>
          </w:tcPr>
          <w:p>
            <w:pPr>
              <w:spacing w:after="0"/>
              <w:rPr>
                <w:sz w:val="21"/>
                <w:szCs w:val="21"/>
                <w:color w:val="auto"/>
              </w:rPr>
            </w:pPr>
          </w:p>
        </w:tc>
        <w:tc>
          <w:tcPr>
            <w:tcW w:w="5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1"/>
                <w:szCs w:val="21"/>
                <w:color w:val="auto"/>
              </w:rPr>
            </w:pPr>
          </w:p>
        </w:tc>
      </w:tr>
      <w:tr>
        <w:trPr>
          <w:trHeight w:val="234"/>
        </w:trPr>
        <w:tc>
          <w:tcPr>
            <w:tcW w:w="6400" w:type="dxa"/>
            <w:vAlign w:val="bottom"/>
            <w:tcBorders>
              <w:bottom w:val="single" w:sz="8" w:color="E7E7E7"/>
            </w:tcBorders>
            <w:gridSpan w:val="3"/>
          </w:tcPr>
          <w:p>
            <w:pPr>
              <w:ind w:left="400"/>
              <w:spacing w:after="0"/>
              <w:rPr>
                <w:sz w:val="20"/>
                <w:szCs w:val="20"/>
                <w:color w:val="auto"/>
              </w:rPr>
            </w:pPr>
            <w:r>
              <w:rPr>
                <w:rFonts w:ascii="Times New Roman" w:cs="Times New Roman" w:eastAsia="Times New Roman" w:hAnsi="Times New Roman"/>
                <w:sz w:val="20"/>
                <w:szCs w:val="20"/>
                <w:color w:val="auto"/>
              </w:rPr>
              <w:t>Total deferred tax benefit</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80" w:type="dxa"/>
            <w:vAlign w:val="bottom"/>
            <w:tcBorders>
              <w:bottom w:val="single" w:sz="8" w:color="E7E7E7"/>
            </w:tcBorders>
          </w:tcPr>
          <w:p>
            <w:pPr>
              <w:spacing w:after="0"/>
              <w:rPr>
                <w:sz w:val="20"/>
                <w:szCs w:val="20"/>
                <w:color w:val="auto"/>
              </w:rPr>
            </w:pPr>
          </w:p>
        </w:tc>
        <w:tc>
          <w:tcPr>
            <w:tcW w:w="16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80" w:type="dxa"/>
            <w:vAlign w:val="bottom"/>
            <w:tcBorders>
              <w:bottom w:val="single" w:sz="8" w:color="E7E7E7"/>
            </w:tcBorders>
          </w:tcPr>
          <w:p>
            <w:pPr>
              <w:spacing w:after="0"/>
              <w:rPr>
                <w:sz w:val="20"/>
                <w:szCs w:val="20"/>
                <w:color w:val="auto"/>
              </w:rPr>
            </w:pPr>
          </w:p>
        </w:tc>
      </w:tr>
      <w:tr>
        <w:trPr>
          <w:trHeight w:val="234"/>
        </w:trPr>
        <w:tc>
          <w:tcPr>
            <w:tcW w:w="623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Total income tax benefit</w:t>
            </w:r>
          </w:p>
        </w:tc>
        <w:tc>
          <w:tcPr>
            <w:tcW w:w="150" w:type="dxa"/>
            <w:vAlign w:val="bottom"/>
            <w:shd w:val="clear" w:color="auto" w:fill="E7E7E7"/>
          </w:tcPr>
          <w:p>
            <w:pPr>
              <w:spacing w:after="0"/>
              <w:rPr>
                <w:sz w:val="20"/>
                <w:szCs w:val="20"/>
                <w:color w:val="auto"/>
              </w:rPr>
            </w:pPr>
          </w:p>
        </w:tc>
        <w:tc>
          <w:tcPr>
            <w:tcW w:w="20" w:type="dxa"/>
            <w:vAlign w:val="bottom"/>
            <w:tcBorders>
              <w:bottom w:val="single" w:sz="8" w:color="auto"/>
            </w:tcBorders>
            <w:shd w:val="clear" w:color="auto" w:fill="E7E7E7"/>
          </w:tcPr>
          <w:p>
            <w:pPr>
              <w:spacing w:after="0"/>
              <w:rPr>
                <w:sz w:val="20"/>
                <w:szCs w:val="20"/>
                <w:color w:val="auto"/>
              </w:rPr>
            </w:pPr>
          </w:p>
        </w:tc>
        <w:tc>
          <w:tcPr>
            <w:tcW w:w="12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700" w:type="dxa"/>
            <w:vAlign w:val="bottom"/>
            <w:tcBorders>
              <w:bottom w:val="single" w:sz="8" w:color="auto"/>
            </w:tcBorders>
            <w:shd w:val="clear" w:color="auto" w:fill="E7E7E7"/>
          </w:tcPr>
          <w:p>
            <w:pPr>
              <w:spacing w:after="0"/>
              <w:rPr>
                <w:sz w:val="20"/>
                <w:szCs w:val="20"/>
                <w:color w:val="auto"/>
              </w:rPr>
            </w:pPr>
          </w:p>
        </w:tc>
        <w:tc>
          <w:tcPr>
            <w:tcW w:w="4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80" w:type="dxa"/>
            <w:vAlign w:val="bottom"/>
            <w:shd w:val="clear" w:color="auto" w:fill="E7E7E7"/>
          </w:tcPr>
          <w:p>
            <w:pPr>
              <w:spacing w:after="0"/>
              <w:rPr>
                <w:sz w:val="20"/>
                <w:szCs w:val="20"/>
                <w:color w:val="auto"/>
              </w:rPr>
            </w:pPr>
          </w:p>
        </w:tc>
        <w:tc>
          <w:tcPr>
            <w:tcW w:w="160" w:type="dxa"/>
            <w:vAlign w:val="bottom"/>
            <w:shd w:val="clear" w:color="auto" w:fill="E7E7E7"/>
          </w:tcPr>
          <w:p>
            <w:pPr>
              <w:spacing w:after="0"/>
              <w:rPr>
                <w:sz w:val="20"/>
                <w:szCs w:val="20"/>
                <w:color w:val="auto"/>
              </w:rPr>
            </w:pPr>
          </w:p>
        </w:tc>
        <w:tc>
          <w:tcPr>
            <w:tcW w:w="20" w:type="dxa"/>
            <w:vAlign w:val="bottom"/>
            <w:tcBorders>
              <w:bottom w:val="single" w:sz="8" w:color="auto"/>
            </w:tcBorders>
            <w:shd w:val="clear" w:color="auto" w:fill="E7E7E7"/>
          </w:tcPr>
          <w:p>
            <w:pPr>
              <w:spacing w:after="0"/>
              <w:rPr>
                <w:sz w:val="20"/>
                <w:szCs w:val="20"/>
                <w:color w:val="auto"/>
              </w:rPr>
            </w:pPr>
          </w:p>
        </w:tc>
        <w:tc>
          <w:tcPr>
            <w:tcW w:w="820" w:type="dxa"/>
            <w:vAlign w:val="bottom"/>
            <w:tcBorders>
              <w:bottom w:val="single" w:sz="8" w:color="auto"/>
            </w:tcBorders>
            <w:shd w:val="clear" w:color="auto" w:fill="E7E7E7"/>
          </w:tcPr>
          <w:p>
            <w:pPr>
              <w:jc w:val="right"/>
              <w:ind w:right="620"/>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5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80" w:type="dxa"/>
            <w:vAlign w:val="bottom"/>
            <w:shd w:val="clear" w:color="auto" w:fill="E7E7E7"/>
          </w:tcPr>
          <w:p>
            <w:pPr>
              <w:spacing w:after="0"/>
              <w:rPr>
                <w:sz w:val="20"/>
                <w:szCs w:val="20"/>
                <w:color w:val="auto"/>
              </w:rPr>
            </w:pPr>
          </w:p>
        </w:tc>
      </w:tr>
      <w:tr>
        <w:trPr>
          <w:trHeight w:val="20"/>
        </w:trPr>
        <w:tc>
          <w:tcPr>
            <w:tcW w:w="623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firstLine="490"/>
        <w:spacing w:after="0" w:line="279" w:lineRule="auto"/>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income tax rate is as follows:</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369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11"/>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40" w:type="dxa"/>
            <w:vAlign w:val="bottom"/>
          </w:tcPr>
          <w:p>
            <w:pPr>
              <w:spacing w:after="0"/>
              <w:rPr>
                <w:sz w:val="16"/>
                <w:szCs w:val="16"/>
                <w:color w:val="auto"/>
              </w:rPr>
            </w:pPr>
          </w:p>
        </w:tc>
        <w:tc>
          <w:tcPr>
            <w:tcW w:w="1740" w:type="dxa"/>
            <w:vAlign w:val="bottom"/>
            <w:gridSpan w:val="8"/>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2"/>
        </w:trPr>
        <w:tc>
          <w:tcPr>
            <w:tcW w:w="369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8"/>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0" w:type="dxa"/>
            <w:vAlign w:val="bottom"/>
          </w:tcPr>
          <w:p>
            <w:pPr>
              <w:spacing w:after="0"/>
              <w:rPr>
                <w:sz w:val="1"/>
                <w:szCs w:val="1"/>
                <w:color w:val="auto"/>
              </w:rPr>
            </w:pPr>
          </w:p>
        </w:tc>
      </w:tr>
      <w:tr>
        <w:trPr>
          <w:trHeight w:val="188"/>
        </w:trPr>
        <w:tc>
          <w:tcPr>
            <w:tcW w:w="369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7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E7E7E7"/>
            </w:tcBorders>
            <w:gridSpan w:val="3"/>
          </w:tcPr>
          <w:p>
            <w:pPr>
              <w:spacing w:after="0"/>
              <w:rPr>
                <w:sz w:val="20"/>
                <w:szCs w:val="20"/>
                <w:color w:val="auto"/>
              </w:rPr>
            </w:pPr>
            <w:r>
              <w:rPr>
                <w:rFonts w:ascii="Times New Roman" w:cs="Times New Roman" w:eastAsia="Times New Roman" w:hAnsi="Times New Roman"/>
                <w:sz w:val="20"/>
                <w:szCs w:val="20"/>
                <w:color w:val="auto"/>
              </w:rPr>
              <w:t>U.S. Federal statutory income tax rate</w:t>
            </w:r>
          </w:p>
        </w:tc>
        <w:tc>
          <w:tcPr>
            <w:tcW w:w="560" w:type="dxa"/>
            <w:vAlign w:val="bottom"/>
            <w:tcBorders>
              <w:top w:val="single" w:sz="8" w:color="auto"/>
              <w:bottom w:val="single" w:sz="8" w:color="E7E7E7"/>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(21.0</w:t>
            </w:r>
          </w:p>
        </w:tc>
        <w:tc>
          <w:tcPr>
            <w:tcW w:w="24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w w:val="94"/>
              </w:rPr>
              <w:t>)%</w:t>
            </w:r>
          </w:p>
        </w:tc>
        <w:tc>
          <w:tcPr>
            <w:tcW w:w="40" w:type="dxa"/>
            <w:vAlign w:val="bottom"/>
            <w:tcBorders>
              <w:bottom w:val="single" w:sz="8" w:color="E7E7E7"/>
            </w:tcBorders>
          </w:tcPr>
          <w:p>
            <w:pPr>
              <w:spacing w:after="0"/>
              <w:rPr>
                <w:sz w:val="20"/>
                <w:szCs w:val="20"/>
                <w:color w:val="auto"/>
              </w:rPr>
            </w:pPr>
          </w:p>
        </w:tc>
        <w:tc>
          <w:tcPr>
            <w:tcW w:w="120" w:type="dxa"/>
            <w:vAlign w:val="bottom"/>
            <w:tcBorders>
              <w:bottom w:val="single" w:sz="8" w:color="E7E7E7"/>
            </w:tcBorders>
          </w:tcPr>
          <w:p>
            <w:pPr>
              <w:spacing w:after="0"/>
              <w:rPr>
                <w:sz w:val="20"/>
                <w:szCs w:val="20"/>
                <w:color w:val="auto"/>
              </w:rPr>
            </w:pPr>
          </w:p>
        </w:tc>
        <w:tc>
          <w:tcPr>
            <w:tcW w:w="40" w:type="dxa"/>
            <w:vAlign w:val="bottom"/>
            <w:tcBorders>
              <w:bottom w:val="single" w:sz="8" w:color="E7E7E7"/>
            </w:tcBorders>
          </w:tcPr>
          <w:p>
            <w:pPr>
              <w:spacing w:after="0"/>
              <w:rPr>
                <w:sz w:val="20"/>
                <w:szCs w:val="20"/>
                <w:color w:val="auto"/>
              </w:rPr>
            </w:pPr>
          </w:p>
        </w:tc>
        <w:tc>
          <w:tcPr>
            <w:tcW w:w="120" w:type="dxa"/>
            <w:vAlign w:val="bottom"/>
            <w:tcBorders>
              <w:top w:val="single" w:sz="8" w:color="auto"/>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Borders>
              <w:top w:val="single" w:sz="8" w:color="auto"/>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(10,616</w:t>
            </w: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4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620" w:type="dxa"/>
            <w:vAlign w:val="bottom"/>
            <w:tcBorders>
              <w:top w:val="single" w:sz="8" w:color="auto"/>
              <w:bottom w:val="single" w:sz="8" w:color="E7E7E7"/>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4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w w:val="94"/>
              </w:rPr>
              <w:t>)%</w:t>
            </w:r>
          </w:p>
        </w:tc>
        <w:tc>
          <w:tcPr>
            <w:tcW w:w="60" w:type="dxa"/>
            <w:vAlign w:val="bottom"/>
            <w:tcBorders>
              <w:bottom w:val="single" w:sz="8" w:color="E7E7E7"/>
            </w:tcBorders>
          </w:tcPr>
          <w:p>
            <w:pPr>
              <w:spacing w:after="0"/>
              <w:rPr>
                <w:sz w:val="20"/>
                <w:szCs w:val="20"/>
                <w:color w:val="auto"/>
              </w:rPr>
            </w:pPr>
          </w:p>
        </w:tc>
        <w:tc>
          <w:tcPr>
            <w:tcW w:w="20" w:type="dxa"/>
            <w:vAlign w:val="bottom"/>
            <w:tcBorders>
              <w:bottom w:val="single" w:sz="8" w:color="E7E7E7"/>
            </w:tcBorders>
          </w:tcPr>
          <w:p>
            <w:pPr>
              <w:spacing w:after="0"/>
              <w:rPr>
                <w:sz w:val="20"/>
                <w:szCs w:val="20"/>
                <w:color w:val="auto"/>
              </w:rPr>
            </w:pPr>
          </w:p>
        </w:tc>
        <w:tc>
          <w:tcPr>
            <w:tcW w:w="100" w:type="dxa"/>
            <w:vAlign w:val="bottom"/>
            <w:tcBorders>
              <w:top w:val="single" w:sz="8" w:color="auto"/>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(13,495</w:t>
            </w:r>
          </w:p>
        </w:tc>
        <w:tc>
          <w:tcPr>
            <w:tcW w:w="20" w:type="dxa"/>
            <w:vAlign w:val="bottom"/>
            <w:tcBorders>
              <w:top w:val="single" w:sz="8" w:color="auto"/>
              <w:bottom w:val="single" w:sz="8" w:color="E7E7E7"/>
            </w:tcBorders>
          </w:tcPr>
          <w:p>
            <w:pPr>
              <w:spacing w:after="0"/>
              <w:rPr>
                <w:sz w:val="20"/>
                <w:szCs w:val="20"/>
                <w:color w:val="auto"/>
              </w:rPr>
            </w:pPr>
          </w:p>
        </w:tc>
        <w:tc>
          <w:tcPr>
            <w:tcW w:w="6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0"/>
        </w:trPr>
        <w:tc>
          <w:tcPr>
            <w:tcW w:w="3690" w:type="dxa"/>
            <w:vAlign w:val="bottom"/>
            <w:vMerge w:val="restart"/>
            <w:shd w:val="clear" w:color="auto" w:fill="E7E7E7"/>
          </w:tcPr>
          <w:p>
            <w:pPr>
              <w:ind w:left="200"/>
              <w:spacing w:after="0" w:line="203" w:lineRule="exact"/>
              <w:rPr>
                <w:sz w:val="20"/>
                <w:szCs w:val="20"/>
                <w:color w:val="auto"/>
              </w:rPr>
            </w:pPr>
            <w:r>
              <w:rPr>
                <w:rFonts w:ascii="Times New Roman" w:cs="Times New Roman" w:eastAsia="Times New Roman" w:hAnsi="Times New Roman"/>
                <w:sz w:val="20"/>
                <w:szCs w:val="20"/>
                <w:color w:val="auto"/>
              </w:rPr>
              <w:t>State and local income taxes, net of federal</w:t>
            </w:r>
          </w:p>
        </w:tc>
        <w:tc>
          <w:tcPr>
            <w:tcW w:w="50" w:type="dxa"/>
            <w:vAlign w:val="bottom"/>
            <w:shd w:val="clear" w:color="auto" w:fill="E7E7E7"/>
          </w:tcPr>
          <w:p>
            <w:pPr>
              <w:spacing w:after="0"/>
              <w:rPr>
                <w:sz w:val="9"/>
                <w:szCs w:val="9"/>
                <w:color w:val="auto"/>
              </w:rPr>
            </w:pPr>
          </w:p>
        </w:tc>
        <w:tc>
          <w:tcPr>
            <w:tcW w:w="60" w:type="dxa"/>
            <w:vAlign w:val="bottom"/>
            <w:tcBorders>
              <w:right w:val="single" w:sz="8" w:color="E7E7E7"/>
            </w:tcBorders>
            <w:shd w:val="clear" w:color="auto" w:fill="E7E7E7"/>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E7E7E7"/>
          </w:tcPr>
          <w:p>
            <w:pPr>
              <w:spacing w:after="0"/>
              <w:rPr>
                <w:sz w:val="9"/>
                <w:szCs w:val="9"/>
                <w:color w:val="auto"/>
              </w:rPr>
            </w:pPr>
          </w:p>
        </w:tc>
        <w:tc>
          <w:tcPr>
            <w:tcW w:w="40" w:type="dxa"/>
            <w:vAlign w:val="bottom"/>
            <w:shd w:val="clear" w:color="auto" w:fill="E7E7E7"/>
          </w:tcPr>
          <w:p>
            <w:pPr>
              <w:spacing w:after="0"/>
              <w:rPr>
                <w:sz w:val="9"/>
                <w:szCs w:val="9"/>
                <w:color w:val="auto"/>
              </w:rPr>
            </w:pPr>
          </w:p>
        </w:tc>
        <w:tc>
          <w:tcPr>
            <w:tcW w:w="120" w:type="dxa"/>
            <w:vAlign w:val="bottom"/>
            <w:shd w:val="clear" w:color="auto" w:fill="E7E7E7"/>
          </w:tcPr>
          <w:p>
            <w:pPr>
              <w:spacing w:after="0"/>
              <w:rPr>
                <w:sz w:val="9"/>
                <w:szCs w:val="9"/>
                <w:color w:val="auto"/>
              </w:rPr>
            </w:pPr>
          </w:p>
        </w:tc>
        <w:tc>
          <w:tcPr>
            <w:tcW w:w="40" w:type="dxa"/>
            <w:vAlign w:val="bottom"/>
            <w:shd w:val="clear" w:color="auto" w:fill="E7E7E7"/>
          </w:tcPr>
          <w:p>
            <w:pPr>
              <w:spacing w:after="0"/>
              <w:rPr>
                <w:sz w:val="9"/>
                <w:szCs w:val="9"/>
                <w:color w:val="auto"/>
              </w:rPr>
            </w:pPr>
          </w:p>
        </w:tc>
        <w:tc>
          <w:tcPr>
            <w:tcW w:w="120" w:type="dxa"/>
            <w:vAlign w:val="bottom"/>
            <w:shd w:val="clear" w:color="auto" w:fill="E7E7E7"/>
          </w:tcPr>
          <w:p>
            <w:pPr>
              <w:spacing w:after="0"/>
              <w:rPr>
                <w:sz w:val="9"/>
                <w:szCs w:val="9"/>
                <w:color w:val="auto"/>
              </w:rPr>
            </w:pPr>
          </w:p>
        </w:tc>
        <w:tc>
          <w:tcPr>
            <w:tcW w:w="640" w:type="dxa"/>
            <w:vAlign w:val="bottom"/>
            <w:shd w:val="clear" w:color="auto" w:fill="E7E7E7"/>
          </w:tcPr>
          <w:p>
            <w:pPr>
              <w:spacing w:after="0"/>
              <w:rPr>
                <w:sz w:val="9"/>
                <w:szCs w:val="9"/>
                <w:color w:val="auto"/>
              </w:rPr>
            </w:pPr>
          </w:p>
        </w:tc>
        <w:tc>
          <w:tcPr>
            <w:tcW w:w="80" w:type="dxa"/>
            <w:vAlign w:val="bottom"/>
            <w:shd w:val="clear" w:color="auto" w:fill="E7E7E7"/>
          </w:tcPr>
          <w:p>
            <w:pPr>
              <w:spacing w:after="0"/>
              <w:rPr>
                <w:sz w:val="9"/>
                <w:szCs w:val="9"/>
                <w:color w:val="auto"/>
              </w:rPr>
            </w:pPr>
          </w:p>
        </w:tc>
        <w:tc>
          <w:tcPr>
            <w:tcW w:w="40" w:type="dxa"/>
            <w:vAlign w:val="bottom"/>
            <w:shd w:val="clear" w:color="auto" w:fill="E7E7E7"/>
          </w:tcPr>
          <w:p>
            <w:pPr>
              <w:spacing w:after="0"/>
              <w:rPr>
                <w:sz w:val="9"/>
                <w:szCs w:val="9"/>
                <w:color w:val="auto"/>
              </w:rPr>
            </w:pPr>
          </w:p>
        </w:tc>
        <w:tc>
          <w:tcPr>
            <w:tcW w:w="20" w:type="dxa"/>
            <w:vAlign w:val="bottom"/>
            <w:shd w:val="clear" w:color="auto" w:fill="E7E7E7"/>
          </w:tcPr>
          <w:p>
            <w:pPr>
              <w:spacing w:after="0"/>
              <w:rPr>
                <w:sz w:val="9"/>
                <w:szCs w:val="9"/>
                <w:color w:val="auto"/>
              </w:rPr>
            </w:pPr>
          </w:p>
        </w:tc>
        <w:tc>
          <w:tcPr>
            <w:tcW w:w="40" w:type="dxa"/>
            <w:vAlign w:val="bottom"/>
            <w:shd w:val="clear" w:color="auto" w:fill="E7E7E7"/>
          </w:tcPr>
          <w:p>
            <w:pPr>
              <w:spacing w:after="0"/>
              <w:rPr>
                <w:sz w:val="9"/>
                <w:szCs w:val="9"/>
                <w:color w:val="auto"/>
              </w:rPr>
            </w:pPr>
          </w:p>
        </w:tc>
        <w:tc>
          <w:tcPr>
            <w:tcW w:w="580" w:type="dxa"/>
            <w:vAlign w:val="bottom"/>
            <w:shd w:val="clear" w:color="auto" w:fill="E7E7E7"/>
          </w:tcPr>
          <w:p>
            <w:pPr>
              <w:spacing w:after="0"/>
              <w:rPr>
                <w:sz w:val="9"/>
                <w:szCs w:val="9"/>
                <w:color w:val="auto"/>
              </w:rPr>
            </w:pPr>
          </w:p>
        </w:tc>
        <w:tc>
          <w:tcPr>
            <w:tcW w:w="240" w:type="dxa"/>
            <w:vAlign w:val="bottom"/>
            <w:shd w:val="clear" w:color="auto" w:fill="E7E7E7"/>
          </w:tcPr>
          <w:p>
            <w:pPr>
              <w:spacing w:after="0"/>
              <w:rPr>
                <w:sz w:val="9"/>
                <w:szCs w:val="9"/>
                <w:color w:val="auto"/>
              </w:rPr>
            </w:pPr>
          </w:p>
        </w:tc>
        <w:tc>
          <w:tcPr>
            <w:tcW w:w="60" w:type="dxa"/>
            <w:vAlign w:val="bottom"/>
            <w:shd w:val="clear" w:color="auto" w:fill="E7E7E7"/>
          </w:tcPr>
          <w:p>
            <w:pPr>
              <w:spacing w:after="0"/>
              <w:rPr>
                <w:sz w:val="9"/>
                <w:szCs w:val="9"/>
                <w:color w:val="auto"/>
              </w:rPr>
            </w:pPr>
          </w:p>
        </w:tc>
        <w:tc>
          <w:tcPr>
            <w:tcW w:w="20" w:type="dxa"/>
            <w:vAlign w:val="bottom"/>
            <w:shd w:val="clear" w:color="auto" w:fill="E7E7E7"/>
          </w:tcPr>
          <w:p>
            <w:pPr>
              <w:spacing w:after="0"/>
              <w:rPr>
                <w:sz w:val="9"/>
                <w:szCs w:val="9"/>
                <w:color w:val="auto"/>
              </w:rPr>
            </w:pPr>
          </w:p>
        </w:tc>
        <w:tc>
          <w:tcPr>
            <w:tcW w:w="100" w:type="dxa"/>
            <w:vAlign w:val="bottom"/>
            <w:shd w:val="clear" w:color="auto" w:fill="E7E7E7"/>
          </w:tcPr>
          <w:p>
            <w:pPr>
              <w:spacing w:after="0"/>
              <w:rPr>
                <w:sz w:val="9"/>
                <w:szCs w:val="9"/>
                <w:color w:val="auto"/>
              </w:rPr>
            </w:pPr>
          </w:p>
        </w:tc>
        <w:tc>
          <w:tcPr>
            <w:tcW w:w="660" w:type="dxa"/>
            <w:vAlign w:val="bottom"/>
            <w:shd w:val="clear" w:color="auto" w:fill="E7E7E7"/>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shd w:val="clear" w:color="auto" w:fill="E7E7E7"/>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690" w:type="dxa"/>
            <w:vAlign w:val="bottom"/>
            <w:vMerge w:val="continue"/>
            <w:shd w:val="clear" w:color="auto" w:fill="E7E7E7"/>
          </w:tcPr>
          <w:p>
            <w:pPr>
              <w:spacing w:after="0"/>
              <w:rPr>
                <w:sz w:val="8"/>
                <w:szCs w:val="8"/>
                <w:color w:val="auto"/>
              </w:rPr>
            </w:pPr>
          </w:p>
        </w:tc>
        <w:tc>
          <w:tcPr>
            <w:tcW w:w="50" w:type="dxa"/>
            <w:vAlign w:val="bottom"/>
            <w:shd w:val="clear" w:color="auto" w:fill="E7E7E7"/>
          </w:tcPr>
          <w:p>
            <w:pPr>
              <w:spacing w:after="0"/>
              <w:rPr>
                <w:sz w:val="8"/>
                <w:szCs w:val="8"/>
                <w:color w:val="auto"/>
              </w:rPr>
            </w:pPr>
          </w:p>
        </w:tc>
        <w:tc>
          <w:tcPr>
            <w:tcW w:w="60" w:type="dxa"/>
            <w:vAlign w:val="bottom"/>
            <w:tcBorders>
              <w:right w:val="single" w:sz="8" w:color="E7E7E7"/>
            </w:tcBorders>
            <w:shd w:val="clear" w:color="auto" w:fill="E7E7E7"/>
          </w:tcPr>
          <w:p>
            <w:pPr>
              <w:spacing w:after="0"/>
              <w:rPr>
                <w:sz w:val="8"/>
                <w:szCs w:val="8"/>
                <w:color w:val="auto"/>
              </w:rPr>
            </w:pPr>
          </w:p>
        </w:tc>
        <w:tc>
          <w:tcPr>
            <w:tcW w:w="54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8"/>
                <w:szCs w:val="8"/>
                <w:color w:val="auto"/>
              </w:rPr>
            </w:pPr>
          </w:p>
        </w:tc>
        <w:tc>
          <w:tcPr>
            <w:tcW w:w="240" w:type="dxa"/>
            <w:vAlign w:val="bottom"/>
            <w:shd w:val="clear" w:color="auto" w:fill="E7E7E7"/>
          </w:tcPr>
          <w:p>
            <w:pPr>
              <w:spacing w:after="0"/>
              <w:rPr>
                <w:sz w:val="8"/>
                <w:szCs w:val="8"/>
                <w:color w:val="auto"/>
              </w:rPr>
            </w:pPr>
          </w:p>
        </w:tc>
        <w:tc>
          <w:tcPr>
            <w:tcW w:w="40" w:type="dxa"/>
            <w:vAlign w:val="bottom"/>
            <w:shd w:val="clear" w:color="auto" w:fill="E7E7E7"/>
          </w:tcPr>
          <w:p>
            <w:pPr>
              <w:spacing w:after="0"/>
              <w:rPr>
                <w:sz w:val="8"/>
                <w:szCs w:val="8"/>
                <w:color w:val="auto"/>
              </w:rPr>
            </w:pPr>
          </w:p>
        </w:tc>
        <w:tc>
          <w:tcPr>
            <w:tcW w:w="12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7E7E7"/>
              </w:rPr>
              <w:t>1</w:t>
            </w:r>
          </w:p>
        </w:tc>
        <w:tc>
          <w:tcPr>
            <w:tcW w:w="40" w:type="dxa"/>
            <w:vAlign w:val="bottom"/>
            <w:shd w:val="clear" w:color="auto" w:fill="E7E7E7"/>
          </w:tcPr>
          <w:p>
            <w:pPr>
              <w:spacing w:after="0"/>
              <w:rPr>
                <w:sz w:val="8"/>
                <w:szCs w:val="8"/>
                <w:color w:val="auto"/>
              </w:rPr>
            </w:pPr>
          </w:p>
        </w:tc>
        <w:tc>
          <w:tcPr>
            <w:tcW w:w="120" w:type="dxa"/>
            <w:vAlign w:val="bottom"/>
            <w:shd w:val="clear" w:color="auto" w:fill="E7E7E7"/>
          </w:tcPr>
          <w:p>
            <w:pPr>
              <w:spacing w:after="0"/>
              <w:rPr>
                <w:sz w:val="8"/>
                <w:szCs w:val="8"/>
                <w:color w:val="auto"/>
              </w:rPr>
            </w:pPr>
          </w:p>
        </w:tc>
        <w:tc>
          <w:tcPr>
            <w:tcW w:w="64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80" w:type="dxa"/>
            <w:vAlign w:val="bottom"/>
            <w:shd w:val="clear" w:color="auto" w:fill="E7E7E7"/>
          </w:tcPr>
          <w:p>
            <w:pPr>
              <w:spacing w:after="0"/>
              <w:rPr>
                <w:sz w:val="8"/>
                <w:szCs w:val="8"/>
                <w:color w:val="auto"/>
              </w:rPr>
            </w:pPr>
          </w:p>
        </w:tc>
        <w:tc>
          <w:tcPr>
            <w:tcW w:w="40" w:type="dxa"/>
            <w:vAlign w:val="bottom"/>
            <w:shd w:val="clear" w:color="auto" w:fill="E7E7E7"/>
          </w:tcPr>
          <w:p>
            <w:pPr>
              <w:spacing w:after="0"/>
              <w:rPr>
                <w:sz w:val="8"/>
                <w:szCs w:val="8"/>
                <w:color w:val="auto"/>
              </w:rPr>
            </w:pPr>
          </w:p>
        </w:tc>
        <w:tc>
          <w:tcPr>
            <w:tcW w:w="20" w:type="dxa"/>
            <w:vAlign w:val="bottom"/>
            <w:shd w:val="clear" w:color="auto" w:fill="E7E7E7"/>
          </w:tcPr>
          <w:p>
            <w:pPr>
              <w:spacing w:after="0"/>
              <w:rPr>
                <w:sz w:val="8"/>
                <w:szCs w:val="8"/>
                <w:color w:val="auto"/>
              </w:rPr>
            </w:pPr>
          </w:p>
        </w:tc>
        <w:tc>
          <w:tcPr>
            <w:tcW w:w="40" w:type="dxa"/>
            <w:vAlign w:val="bottom"/>
            <w:shd w:val="clear" w:color="auto" w:fill="E7E7E7"/>
          </w:tcPr>
          <w:p>
            <w:pPr>
              <w:spacing w:after="0"/>
              <w:rPr>
                <w:sz w:val="8"/>
                <w:szCs w:val="8"/>
                <w:color w:val="auto"/>
              </w:rPr>
            </w:pPr>
          </w:p>
        </w:tc>
        <w:tc>
          <w:tcPr>
            <w:tcW w:w="58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40" w:type="dxa"/>
            <w:vAlign w:val="bottom"/>
            <w:vMerge w:val="restart"/>
            <w:shd w:val="clear" w:color="auto" w:fill="E7E7E7"/>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7E7E7"/>
          </w:tcPr>
          <w:p>
            <w:pPr>
              <w:spacing w:after="0"/>
              <w:rPr>
                <w:sz w:val="8"/>
                <w:szCs w:val="8"/>
                <w:color w:val="auto"/>
              </w:rPr>
            </w:pPr>
          </w:p>
        </w:tc>
        <w:tc>
          <w:tcPr>
            <w:tcW w:w="20" w:type="dxa"/>
            <w:vAlign w:val="bottom"/>
            <w:shd w:val="clear" w:color="auto" w:fill="E7E7E7"/>
          </w:tcPr>
          <w:p>
            <w:pPr>
              <w:spacing w:after="0"/>
              <w:rPr>
                <w:sz w:val="8"/>
                <w:szCs w:val="8"/>
                <w:color w:val="auto"/>
              </w:rPr>
            </w:pPr>
          </w:p>
        </w:tc>
        <w:tc>
          <w:tcPr>
            <w:tcW w:w="100" w:type="dxa"/>
            <w:vAlign w:val="bottom"/>
            <w:shd w:val="clear" w:color="auto" w:fill="E7E7E7"/>
          </w:tcPr>
          <w:p>
            <w:pPr>
              <w:spacing w:after="0"/>
              <w:rPr>
                <w:sz w:val="8"/>
                <w:szCs w:val="8"/>
                <w:color w:val="auto"/>
              </w:rPr>
            </w:pPr>
          </w:p>
        </w:tc>
        <w:tc>
          <w:tcPr>
            <w:tcW w:w="66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20" w:type="dxa"/>
            <w:vAlign w:val="bottom"/>
          </w:tcPr>
          <w:p>
            <w:pPr>
              <w:spacing w:after="0"/>
              <w:rPr>
                <w:sz w:val="8"/>
                <w:szCs w:val="8"/>
                <w:color w:val="auto"/>
              </w:rPr>
            </w:pPr>
          </w:p>
        </w:tc>
        <w:tc>
          <w:tcPr>
            <w:tcW w:w="60" w:type="dxa"/>
            <w:vAlign w:val="bottom"/>
            <w:vMerge w:val="restart"/>
            <w:shd w:val="clear" w:color="auto" w:fill="E7E7E7"/>
          </w:tcPr>
          <w:p>
            <w:pPr>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136"/>
        </w:trPr>
        <w:tc>
          <w:tcPr>
            <w:tcW w:w="3690" w:type="dxa"/>
            <w:vAlign w:val="bottom"/>
            <w:vMerge w:val="restart"/>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benefit</w:t>
            </w:r>
          </w:p>
        </w:tc>
        <w:tc>
          <w:tcPr>
            <w:tcW w:w="50" w:type="dxa"/>
            <w:vAlign w:val="bottom"/>
            <w:shd w:val="clear" w:color="auto" w:fill="E7E7E7"/>
          </w:tcPr>
          <w:p>
            <w:pPr>
              <w:spacing w:after="0"/>
              <w:rPr>
                <w:sz w:val="11"/>
                <w:szCs w:val="11"/>
                <w:color w:val="auto"/>
              </w:rPr>
            </w:pPr>
          </w:p>
        </w:tc>
        <w:tc>
          <w:tcPr>
            <w:tcW w:w="60" w:type="dxa"/>
            <w:vAlign w:val="bottom"/>
            <w:tcBorders>
              <w:right w:val="single" w:sz="8" w:color="E7E7E7"/>
            </w:tcBorders>
            <w:shd w:val="clear" w:color="auto" w:fill="E7E7E7"/>
          </w:tcPr>
          <w:p>
            <w:pPr>
              <w:spacing w:after="0"/>
              <w:rPr>
                <w:sz w:val="11"/>
                <w:szCs w:val="11"/>
                <w:color w:val="auto"/>
              </w:rPr>
            </w:pPr>
          </w:p>
        </w:tc>
        <w:tc>
          <w:tcPr>
            <w:tcW w:w="540" w:type="dxa"/>
            <w:vAlign w:val="bottom"/>
            <w:vMerge w:val="continue"/>
            <w:shd w:val="clear" w:color="auto" w:fill="E7E7E7"/>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E7E7E7"/>
          </w:tcPr>
          <w:p>
            <w:pPr>
              <w:spacing w:after="0"/>
              <w:rPr>
                <w:sz w:val="11"/>
                <w:szCs w:val="11"/>
                <w:color w:val="auto"/>
              </w:rPr>
            </w:pPr>
          </w:p>
        </w:tc>
        <w:tc>
          <w:tcPr>
            <w:tcW w:w="40" w:type="dxa"/>
            <w:vAlign w:val="bottom"/>
            <w:shd w:val="clear" w:color="auto" w:fill="E7E7E7"/>
          </w:tcPr>
          <w:p>
            <w:pPr>
              <w:spacing w:after="0"/>
              <w:rPr>
                <w:sz w:val="11"/>
                <w:szCs w:val="11"/>
                <w:color w:val="auto"/>
              </w:rPr>
            </w:pPr>
          </w:p>
        </w:tc>
        <w:tc>
          <w:tcPr>
            <w:tcW w:w="120" w:type="dxa"/>
            <w:vAlign w:val="bottom"/>
            <w:vMerge w:val="continue"/>
            <w:shd w:val="clear" w:color="auto" w:fill="E7E7E7"/>
          </w:tcPr>
          <w:p>
            <w:pPr>
              <w:spacing w:after="0"/>
              <w:rPr>
                <w:sz w:val="11"/>
                <w:szCs w:val="11"/>
                <w:color w:val="auto"/>
              </w:rPr>
            </w:pPr>
          </w:p>
        </w:tc>
        <w:tc>
          <w:tcPr>
            <w:tcW w:w="40" w:type="dxa"/>
            <w:vAlign w:val="bottom"/>
            <w:shd w:val="clear" w:color="auto" w:fill="E7E7E7"/>
          </w:tcPr>
          <w:p>
            <w:pPr>
              <w:spacing w:after="0"/>
              <w:rPr>
                <w:sz w:val="11"/>
                <w:szCs w:val="11"/>
                <w:color w:val="auto"/>
              </w:rPr>
            </w:pPr>
          </w:p>
        </w:tc>
        <w:tc>
          <w:tcPr>
            <w:tcW w:w="120" w:type="dxa"/>
            <w:vAlign w:val="bottom"/>
            <w:shd w:val="clear" w:color="auto" w:fill="E7E7E7"/>
          </w:tcPr>
          <w:p>
            <w:pPr>
              <w:spacing w:after="0"/>
              <w:rPr>
                <w:sz w:val="11"/>
                <w:szCs w:val="11"/>
                <w:color w:val="auto"/>
              </w:rPr>
            </w:pPr>
          </w:p>
        </w:tc>
        <w:tc>
          <w:tcPr>
            <w:tcW w:w="640" w:type="dxa"/>
            <w:vAlign w:val="bottom"/>
            <w:vMerge w:val="continue"/>
            <w:shd w:val="clear" w:color="auto" w:fill="E7E7E7"/>
          </w:tcPr>
          <w:p>
            <w:pPr>
              <w:spacing w:after="0"/>
              <w:rPr>
                <w:sz w:val="11"/>
                <w:szCs w:val="11"/>
                <w:color w:val="auto"/>
              </w:rPr>
            </w:pPr>
          </w:p>
        </w:tc>
        <w:tc>
          <w:tcPr>
            <w:tcW w:w="80" w:type="dxa"/>
            <w:vAlign w:val="bottom"/>
            <w:shd w:val="clear" w:color="auto" w:fill="E7E7E7"/>
          </w:tcPr>
          <w:p>
            <w:pPr>
              <w:spacing w:after="0"/>
              <w:rPr>
                <w:sz w:val="11"/>
                <w:szCs w:val="11"/>
                <w:color w:val="auto"/>
              </w:rPr>
            </w:pPr>
          </w:p>
        </w:tc>
        <w:tc>
          <w:tcPr>
            <w:tcW w:w="40" w:type="dxa"/>
            <w:vAlign w:val="bottom"/>
            <w:shd w:val="clear" w:color="auto" w:fill="E7E7E7"/>
          </w:tcPr>
          <w:p>
            <w:pPr>
              <w:spacing w:after="0"/>
              <w:rPr>
                <w:sz w:val="11"/>
                <w:szCs w:val="11"/>
                <w:color w:val="auto"/>
              </w:rPr>
            </w:pPr>
          </w:p>
        </w:tc>
        <w:tc>
          <w:tcPr>
            <w:tcW w:w="20" w:type="dxa"/>
            <w:vAlign w:val="bottom"/>
            <w:shd w:val="clear" w:color="auto" w:fill="E7E7E7"/>
          </w:tcPr>
          <w:p>
            <w:pPr>
              <w:spacing w:after="0"/>
              <w:rPr>
                <w:sz w:val="11"/>
                <w:szCs w:val="11"/>
                <w:color w:val="auto"/>
              </w:rPr>
            </w:pPr>
          </w:p>
        </w:tc>
        <w:tc>
          <w:tcPr>
            <w:tcW w:w="40" w:type="dxa"/>
            <w:vAlign w:val="bottom"/>
            <w:shd w:val="clear" w:color="auto" w:fill="E7E7E7"/>
          </w:tcPr>
          <w:p>
            <w:pPr>
              <w:spacing w:after="0"/>
              <w:rPr>
                <w:sz w:val="11"/>
                <w:szCs w:val="11"/>
                <w:color w:val="auto"/>
              </w:rPr>
            </w:pPr>
          </w:p>
        </w:tc>
        <w:tc>
          <w:tcPr>
            <w:tcW w:w="580" w:type="dxa"/>
            <w:vAlign w:val="bottom"/>
            <w:vMerge w:val="continue"/>
            <w:shd w:val="clear" w:color="auto" w:fill="E7E7E7"/>
          </w:tcPr>
          <w:p>
            <w:pPr>
              <w:spacing w:after="0"/>
              <w:rPr>
                <w:sz w:val="11"/>
                <w:szCs w:val="11"/>
                <w:color w:val="auto"/>
              </w:rPr>
            </w:pPr>
          </w:p>
        </w:tc>
        <w:tc>
          <w:tcPr>
            <w:tcW w:w="240" w:type="dxa"/>
            <w:vAlign w:val="bottom"/>
            <w:vMerge w:val="continue"/>
            <w:shd w:val="clear" w:color="auto" w:fill="E7E7E7"/>
          </w:tcPr>
          <w:p>
            <w:pPr>
              <w:spacing w:after="0"/>
              <w:rPr>
                <w:sz w:val="11"/>
                <w:szCs w:val="11"/>
                <w:color w:val="auto"/>
              </w:rPr>
            </w:pPr>
          </w:p>
        </w:tc>
        <w:tc>
          <w:tcPr>
            <w:tcW w:w="60" w:type="dxa"/>
            <w:vAlign w:val="bottom"/>
            <w:shd w:val="clear" w:color="auto" w:fill="E7E7E7"/>
          </w:tcPr>
          <w:p>
            <w:pPr>
              <w:spacing w:after="0"/>
              <w:rPr>
                <w:sz w:val="11"/>
                <w:szCs w:val="11"/>
                <w:color w:val="auto"/>
              </w:rPr>
            </w:pPr>
          </w:p>
        </w:tc>
        <w:tc>
          <w:tcPr>
            <w:tcW w:w="20" w:type="dxa"/>
            <w:vAlign w:val="bottom"/>
            <w:shd w:val="clear" w:color="auto" w:fill="E7E7E7"/>
          </w:tcPr>
          <w:p>
            <w:pPr>
              <w:spacing w:after="0"/>
              <w:rPr>
                <w:sz w:val="11"/>
                <w:szCs w:val="11"/>
                <w:color w:val="auto"/>
              </w:rPr>
            </w:pPr>
          </w:p>
        </w:tc>
        <w:tc>
          <w:tcPr>
            <w:tcW w:w="100" w:type="dxa"/>
            <w:vAlign w:val="bottom"/>
            <w:shd w:val="clear" w:color="auto" w:fill="E7E7E7"/>
          </w:tcPr>
          <w:p>
            <w:pPr>
              <w:spacing w:after="0"/>
              <w:rPr>
                <w:sz w:val="11"/>
                <w:szCs w:val="11"/>
                <w:color w:val="auto"/>
              </w:rPr>
            </w:pPr>
          </w:p>
        </w:tc>
        <w:tc>
          <w:tcPr>
            <w:tcW w:w="660" w:type="dxa"/>
            <w:vAlign w:val="bottom"/>
            <w:vMerge w:val="continue"/>
            <w:shd w:val="clear" w:color="auto" w:fill="E7E7E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vMerge w:val="continue"/>
            <w:shd w:val="clear" w:color="auto" w:fill="E7E7E7"/>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90" w:type="dxa"/>
            <w:vAlign w:val="bottom"/>
            <w:vMerge w:val="continue"/>
            <w:shd w:val="clear" w:color="auto" w:fill="E7E7E7"/>
          </w:tcPr>
          <w:p>
            <w:pPr>
              <w:spacing w:after="0"/>
              <w:rPr>
                <w:sz w:val="10"/>
                <w:szCs w:val="10"/>
                <w:color w:val="auto"/>
              </w:rPr>
            </w:pPr>
          </w:p>
        </w:tc>
        <w:tc>
          <w:tcPr>
            <w:tcW w:w="50" w:type="dxa"/>
            <w:vAlign w:val="bottom"/>
            <w:shd w:val="clear" w:color="auto" w:fill="E7E7E7"/>
          </w:tcPr>
          <w:p>
            <w:pPr>
              <w:spacing w:after="0"/>
              <w:rPr>
                <w:sz w:val="10"/>
                <w:szCs w:val="10"/>
                <w:color w:val="auto"/>
              </w:rPr>
            </w:pPr>
          </w:p>
        </w:tc>
        <w:tc>
          <w:tcPr>
            <w:tcW w:w="60" w:type="dxa"/>
            <w:vAlign w:val="bottom"/>
            <w:tcBorders>
              <w:right w:val="single" w:sz="8" w:color="E7E7E7"/>
            </w:tcBorders>
            <w:shd w:val="clear" w:color="auto" w:fill="E7E7E7"/>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E7E7E7"/>
          </w:tcPr>
          <w:p>
            <w:pPr>
              <w:spacing w:after="0"/>
              <w:rPr>
                <w:sz w:val="10"/>
                <w:szCs w:val="10"/>
                <w:color w:val="auto"/>
              </w:rPr>
            </w:pPr>
          </w:p>
        </w:tc>
        <w:tc>
          <w:tcPr>
            <w:tcW w:w="40" w:type="dxa"/>
            <w:vAlign w:val="bottom"/>
            <w:shd w:val="clear" w:color="auto" w:fill="E7E7E7"/>
          </w:tcPr>
          <w:p>
            <w:pPr>
              <w:spacing w:after="0"/>
              <w:rPr>
                <w:sz w:val="10"/>
                <w:szCs w:val="10"/>
                <w:color w:val="auto"/>
              </w:rPr>
            </w:pPr>
          </w:p>
        </w:tc>
        <w:tc>
          <w:tcPr>
            <w:tcW w:w="120" w:type="dxa"/>
            <w:vAlign w:val="bottom"/>
            <w:shd w:val="clear" w:color="auto" w:fill="E7E7E7"/>
          </w:tcPr>
          <w:p>
            <w:pPr>
              <w:spacing w:after="0"/>
              <w:rPr>
                <w:sz w:val="10"/>
                <w:szCs w:val="10"/>
                <w:color w:val="auto"/>
              </w:rPr>
            </w:pPr>
          </w:p>
        </w:tc>
        <w:tc>
          <w:tcPr>
            <w:tcW w:w="40" w:type="dxa"/>
            <w:vAlign w:val="bottom"/>
            <w:shd w:val="clear" w:color="auto" w:fill="E7E7E7"/>
          </w:tcPr>
          <w:p>
            <w:pPr>
              <w:spacing w:after="0"/>
              <w:rPr>
                <w:sz w:val="10"/>
                <w:szCs w:val="10"/>
                <w:color w:val="auto"/>
              </w:rPr>
            </w:pPr>
          </w:p>
        </w:tc>
        <w:tc>
          <w:tcPr>
            <w:tcW w:w="120" w:type="dxa"/>
            <w:vAlign w:val="bottom"/>
            <w:shd w:val="clear" w:color="auto" w:fill="E7E7E7"/>
          </w:tcPr>
          <w:p>
            <w:pPr>
              <w:spacing w:after="0"/>
              <w:rPr>
                <w:sz w:val="10"/>
                <w:szCs w:val="10"/>
                <w:color w:val="auto"/>
              </w:rPr>
            </w:pPr>
          </w:p>
        </w:tc>
        <w:tc>
          <w:tcPr>
            <w:tcW w:w="640" w:type="dxa"/>
            <w:vAlign w:val="bottom"/>
            <w:shd w:val="clear" w:color="auto" w:fill="E7E7E7"/>
          </w:tcPr>
          <w:p>
            <w:pPr>
              <w:spacing w:after="0"/>
              <w:rPr>
                <w:sz w:val="10"/>
                <w:szCs w:val="10"/>
                <w:color w:val="auto"/>
              </w:rPr>
            </w:pPr>
          </w:p>
        </w:tc>
        <w:tc>
          <w:tcPr>
            <w:tcW w:w="80" w:type="dxa"/>
            <w:vAlign w:val="bottom"/>
            <w:shd w:val="clear" w:color="auto" w:fill="E7E7E7"/>
          </w:tcPr>
          <w:p>
            <w:pPr>
              <w:spacing w:after="0"/>
              <w:rPr>
                <w:sz w:val="10"/>
                <w:szCs w:val="10"/>
                <w:color w:val="auto"/>
              </w:rPr>
            </w:pPr>
          </w:p>
        </w:tc>
        <w:tc>
          <w:tcPr>
            <w:tcW w:w="40" w:type="dxa"/>
            <w:vAlign w:val="bottom"/>
            <w:shd w:val="clear" w:color="auto" w:fill="E7E7E7"/>
          </w:tcPr>
          <w:p>
            <w:pPr>
              <w:spacing w:after="0"/>
              <w:rPr>
                <w:sz w:val="10"/>
                <w:szCs w:val="10"/>
                <w:color w:val="auto"/>
              </w:rPr>
            </w:pPr>
          </w:p>
        </w:tc>
        <w:tc>
          <w:tcPr>
            <w:tcW w:w="20" w:type="dxa"/>
            <w:vAlign w:val="bottom"/>
            <w:shd w:val="clear" w:color="auto" w:fill="E7E7E7"/>
          </w:tcPr>
          <w:p>
            <w:pPr>
              <w:spacing w:after="0"/>
              <w:rPr>
                <w:sz w:val="10"/>
                <w:szCs w:val="10"/>
                <w:color w:val="auto"/>
              </w:rPr>
            </w:pPr>
          </w:p>
        </w:tc>
        <w:tc>
          <w:tcPr>
            <w:tcW w:w="40" w:type="dxa"/>
            <w:vAlign w:val="bottom"/>
            <w:shd w:val="clear" w:color="auto" w:fill="E7E7E7"/>
          </w:tcPr>
          <w:p>
            <w:pPr>
              <w:spacing w:after="0"/>
              <w:rPr>
                <w:sz w:val="10"/>
                <w:szCs w:val="10"/>
                <w:color w:val="auto"/>
              </w:rPr>
            </w:pPr>
          </w:p>
        </w:tc>
        <w:tc>
          <w:tcPr>
            <w:tcW w:w="580" w:type="dxa"/>
            <w:vAlign w:val="bottom"/>
            <w:shd w:val="clear" w:color="auto" w:fill="E7E7E7"/>
          </w:tcPr>
          <w:p>
            <w:pPr>
              <w:spacing w:after="0"/>
              <w:rPr>
                <w:sz w:val="10"/>
                <w:szCs w:val="10"/>
                <w:color w:val="auto"/>
              </w:rPr>
            </w:pPr>
          </w:p>
        </w:tc>
        <w:tc>
          <w:tcPr>
            <w:tcW w:w="240" w:type="dxa"/>
            <w:vAlign w:val="bottom"/>
            <w:shd w:val="clear" w:color="auto" w:fill="E7E7E7"/>
          </w:tcPr>
          <w:p>
            <w:pPr>
              <w:spacing w:after="0"/>
              <w:rPr>
                <w:sz w:val="10"/>
                <w:szCs w:val="10"/>
                <w:color w:val="auto"/>
              </w:rPr>
            </w:pPr>
          </w:p>
        </w:tc>
        <w:tc>
          <w:tcPr>
            <w:tcW w:w="60" w:type="dxa"/>
            <w:vAlign w:val="bottom"/>
            <w:shd w:val="clear" w:color="auto" w:fill="E7E7E7"/>
          </w:tcPr>
          <w:p>
            <w:pPr>
              <w:spacing w:after="0"/>
              <w:rPr>
                <w:sz w:val="10"/>
                <w:szCs w:val="10"/>
                <w:color w:val="auto"/>
              </w:rPr>
            </w:pPr>
          </w:p>
        </w:tc>
        <w:tc>
          <w:tcPr>
            <w:tcW w:w="20" w:type="dxa"/>
            <w:vAlign w:val="bottom"/>
            <w:shd w:val="clear" w:color="auto" w:fill="E7E7E7"/>
          </w:tcPr>
          <w:p>
            <w:pPr>
              <w:spacing w:after="0"/>
              <w:rPr>
                <w:sz w:val="10"/>
                <w:szCs w:val="10"/>
                <w:color w:val="auto"/>
              </w:rPr>
            </w:pPr>
          </w:p>
        </w:tc>
        <w:tc>
          <w:tcPr>
            <w:tcW w:w="100" w:type="dxa"/>
            <w:vAlign w:val="bottom"/>
            <w:shd w:val="clear" w:color="auto" w:fill="E7E7E7"/>
          </w:tcPr>
          <w:p>
            <w:pPr>
              <w:spacing w:after="0"/>
              <w:rPr>
                <w:sz w:val="10"/>
                <w:szCs w:val="10"/>
                <w:color w:val="auto"/>
              </w:rPr>
            </w:pPr>
          </w:p>
        </w:tc>
        <w:tc>
          <w:tcPr>
            <w:tcW w:w="660" w:type="dxa"/>
            <w:vAlign w:val="bottom"/>
            <w:shd w:val="clear" w:color="auto" w:fill="E7E7E7"/>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shd w:val="clear" w:color="auto" w:fill="E7E7E7"/>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690" w:type="dxa"/>
            <w:vAlign w:val="bottom"/>
            <w:vMerge w:val="restart"/>
          </w:tcPr>
          <w:p>
            <w:pPr>
              <w:ind w:left="200"/>
              <w:spacing w:after="0" w:line="223" w:lineRule="exact"/>
              <w:rPr>
                <w:sz w:val="20"/>
                <w:szCs w:val="20"/>
                <w:color w:val="auto"/>
              </w:rPr>
            </w:pPr>
            <w:r>
              <w:rPr>
                <w:rFonts w:ascii="Times New Roman" w:cs="Times New Roman" w:eastAsia="Times New Roman" w:hAnsi="Times New Roman"/>
                <w:sz w:val="20"/>
                <w:szCs w:val="20"/>
                <w:color w:val="auto"/>
              </w:rPr>
              <w:t>Research and development and orphan</w:t>
            </w:r>
          </w:p>
        </w:tc>
        <w:tc>
          <w:tcPr>
            <w:tcW w:w="11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90" w:type="dxa"/>
            <w:vAlign w:val="bottom"/>
            <w:vMerge w:val="continue"/>
          </w:tcPr>
          <w:p>
            <w:pPr>
              <w:spacing w:after="0"/>
              <w:rPr>
                <w:sz w:val="8"/>
                <w:szCs w:val="8"/>
                <w:color w:val="auto"/>
              </w:rPr>
            </w:pPr>
          </w:p>
        </w:tc>
        <w:tc>
          <w:tcPr>
            <w:tcW w:w="5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8"/>
                <w:szCs w:val="8"/>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highlight w:val="white"/>
              </w:rPr>
              <w:t>(103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highlight w:val="white"/>
              </w:rPr>
              <w:t>(0.6</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highlight w:val="white"/>
              </w:rPr>
              <w:t>(400</w:t>
            </w: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136"/>
        </w:trPr>
        <w:tc>
          <w:tcPr>
            <w:tcW w:w="369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drug tax credits</w:t>
            </w:r>
          </w:p>
        </w:tc>
        <w:tc>
          <w:tcPr>
            <w:tcW w:w="5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90" w:type="dxa"/>
            <w:vAlign w:val="bottom"/>
            <w:tcBorders>
              <w:bottom w:val="single" w:sz="8" w:color="E7E7E7"/>
            </w:tcBorders>
            <w:vMerge w:val="continue"/>
          </w:tcPr>
          <w:p>
            <w:pPr>
              <w:spacing w:after="0"/>
              <w:rPr>
                <w:sz w:val="10"/>
                <w:szCs w:val="10"/>
                <w:color w:val="auto"/>
              </w:rPr>
            </w:pPr>
          </w:p>
        </w:tc>
        <w:tc>
          <w:tcPr>
            <w:tcW w:w="50" w:type="dxa"/>
            <w:vAlign w:val="bottom"/>
            <w:tcBorders>
              <w:bottom w:val="single" w:sz="8" w:color="E7E7E7"/>
            </w:tcBorders>
          </w:tcPr>
          <w:p>
            <w:pPr>
              <w:spacing w:after="0"/>
              <w:rPr>
                <w:sz w:val="10"/>
                <w:szCs w:val="10"/>
                <w:color w:val="auto"/>
              </w:rPr>
            </w:pPr>
          </w:p>
        </w:tc>
        <w:tc>
          <w:tcPr>
            <w:tcW w:w="60" w:type="dxa"/>
            <w:vAlign w:val="bottom"/>
            <w:tcBorders>
              <w:bottom w:val="single" w:sz="8" w:color="E7E7E7"/>
            </w:tcBorders>
          </w:tcPr>
          <w:p>
            <w:pPr>
              <w:spacing w:after="0"/>
              <w:rPr>
                <w:sz w:val="10"/>
                <w:szCs w:val="10"/>
                <w:color w:val="auto"/>
              </w:rPr>
            </w:pPr>
          </w:p>
        </w:tc>
        <w:tc>
          <w:tcPr>
            <w:tcW w:w="540" w:type="dxa"/>
            <w:vAlign w:val="bottom"/>
            <w:tcBorders>
              <w:bottom w:val="single" w:sz="8" w:color="E7E7E7"/>
            </w:tcBorders>
          </w:tcPr>
          <w:p>
            <w:pPr>
              <w:spacing w:after="0"/>
              <w:rPr>
                <w:sz w:val="10"/>
                <w:szCs w:val="10"/>
                <w:color w:val="auto"/>
              </w:rPr>
            </w:pPr>
          </w:p>
        </w:tc>
        <w:tc>
          <w:tcPr>
            <w:tcW w:w="20" w:type="dxa"/>
            <w:vAlign w:val="bottom"/>
            <w:tcBorders>
              <w:bottom w:val="single" w:sz="8" w:color="E7E7E7"/>
            </w:tcBorders>
          </w:tcPr>
          <w:p>
            <w:pPr>
              <w:spacing w:after="0"/>
              <w:rPr>
                <w:sz w:val="10"/>
                <w:szCs w:val="10"/>
                <w:color w:val="auto"/>
              </w:rPr>
            </w:pPr>
          </w:p>
        </w:tc>
        <w:tc>
          <w:tcPr>
            <w:tcW w:w="240" w:type="dxa"/>
            <w:vAlign w:val="bottom"/>
            <w:tcBorders>
              <w:bottom w:val="single" w:sz="8" w:color="E7E7E7"/>
            </w:tcBorders>
          </w:tcPr>
          <w:p>
            <w:pPr>
              <w:spacing w:after="0"/>
              <w:rPr>
                <w:sz w:val="10"/>
                <w:szCs w:val="10"/>
                <w:color w:val="auto"/>
              </w:rPr>
            </w:pPr>
          </w:p>
        </w:tc>
        <w:tc>
          <w:tcPr>
            <w:tcW w:w="40" w:type="dxa"/>
            <w:vAlign w:val="bottom"/>
            <w:tcBorders>
              <w:bottom w:val="single" w:sz="8" w:color="E7E7E7"/>
            </w:tcBorders>
          </w:tcPr>
          <w:p>
            <w:pPr>
              <w:spacing w:after="0"/>
              <w:rPr>
                <w:sz w:val="10"/>
                <w:szCs w:val="10"/>
                <w:color w:val="auto"/>
              </w:rPr>
            </w:pPr>
          </w:p>
        </w:tc>
        <w:tc>
          <w:tcPr>
            <w:tcW w:w="120" w:type="dxa"/>
            <w:vAlign w:val="bottom"/>
            <w:tcBorders>
              <w:bottom w:val="single" w:sz="8" w:color="E7E7E7"/>
            </w:tcBorders>
          </w:tcPr>
          <w:p>
            <w:pPr>
              <w:spacing w:after="0"/>
              <w:rPr>
                <w:sz w:val="10"/>
                <w:szCs w:val="10"/>
                <w:color w:val="auto"/>
              </w:rPr>
            </w:pPr>
          </w:p>
        </w:tc>
        <w:tc>
          <w:tcPr>
            <w:tcW w:w="40" w:type="dxa"/>
            <w:vAlign w:val="bottom"/>
            <w:tcBorders>
              <w:bottom w:val="single" w:sz="8" w:color="E7E7E7"/>
            </w:tcBorders>
          </w:tcPr>
          <w:p>
            <w:pPr>
              <w:spacing w:after="0"/>
              <w:rPr>
                <w:sz w:val="10"/>
                <w:szCs w:val="10"/>
                <w:color w:val="auto"/>
              </w:rPr>
            </w:pPr>
          </w:p>
        </w:tc>
        <w:tc>
          <w:tcPr>
            <w:tcW w:w="120" w:type="dxa"/>
            <w:vAlign w:val="bottom"/>
            <w:tcBorders>
              <w:bottom w:val="single" w:sz="8" w:color="E7E7E7"/>
            </w:tcBorders>
          </w:tcPr>
          <w:p>
            <w:pPr>
              <w:spacing w:after="0"/>
              <w:rPr>
                <w:sz w:val="10"/>
                <w:szCs w:val="10"/>
                <w:color w:val="auto"/>
              </w:rPr>
            </w:pPr>
          </w:p>
        </w:tc>
        <w:tc>
          <w:tcPr>
            <w:tcW w:w="640" w:type="dxa"/>
            <w:vAlign w:val="bottom"/>
            <w:tcBorders>
              <w:bottom w:val="single" w:sz="8" w:color="E7E7E7"/>
            </w:tcBorders>
          </w:tcPr>
          <w:p>
            <w:pPr>
              <w:spacing w:after="0"/>
              <w:rPr>
                <w:sz w:val="10"/>
                <w:szCs w:val="10"/>
                <w:color w:val="auto"/>
              </w:rPr>
            </w:pPr>
          </w:p>
        </w:tc>
        <w:tc>
          <w:tcPr>
            <w:tcW w:w="80" w:type="dxa"/>
            <w:vAlign w:val="bottom"/>
            <w:tcBorders>
              <w:bottom w:val="single" w:sz="8" w:color="E7E7E7"/>
            </w:tcBorders>
          </w:tcPr>
          <w:p>
            <w:pPr>
              <w:spacing w:after="0"/>
              <w:rPr>
                <w:sz w:val="10"/>
                <w:szCs w:val="10"/>
                <w:color w:val="auto"/>
              </w:rPr>
            </w:pPr>
          </w:p>
        </w:tc>
        <w:tc>
          <w:tcPr>
            <w:tcW w:w="40" w:type="dxa"/>
            <w:vAlign w:val="bottom"/>
            <w:tcBorders>
              <w:bottom w:val="single" w:sz="8" w:color="E7E7E7"/>
            </w:tcBorders>
          </w:tcPr>
          <w:p>
            <w:pPr>
              <w:spacing w:after="0"/>
              <w:rPr>
                <w:sz w:val="10"/>
                <w:szCs w:val="10"/>
                <w:color w:val="auto"/>
              </w:rPr>
            </w:pPr>
          </w:p>
        </w:tc>
        <w:tc>
          <w:tcPr>
            <w:tcW w:w="20" w:type="dxa"/>
            <w:vAlign w:val="bottom"/>
            <w:tcBorders>
              <w:bottom w:val="single" w:sz="8" w:color="E7E7E7"/>
            </w:tcBorders>
          </w:tcPr>
          <w:p>
            <w:pPr>
              <w:spacing w:after="0"/>
              <w:rPr>
                <w:sz w:val="10"/>
                <w:szCs w:val="10"/>
                <w:color w:val="auto"/>
              </w:rPr>
            </w:pPr>
          </w:p>
        </w:tc>
        <w:tc>
          <w:tcPr>
            <w:tcW w:w="40" w:type="dxa"/>
            <w:vAlign w:val="bottom"/>
            <w:tcBorders>
              <w:bottom w:val="single" w:sz="8" w:color="E7E7E7"/>
            </w:tcBorders>
          </w:tcPr>
          <w:p>
            <w:pPr>
              <w:spacing w:after="0"/>
              <w:rPr>
                <w:sz w:val="10"/>
                <w:szCs w:val="10"/>
                <w:color w:val="auto"/>
              </w:rPr>
            </w:pPr>
          </w:p>
        </w:tc>
        <w:tc>
          <w:tcPr>
            <w:tcW w:w="580" w:type="dxa"/>
            <w:vAlign w:val="bottom"/>
            <w:tcBorders>
              <w:bottom w:val="single" w:sz="8" w:color="E7E7E7"/>
            </w:tcBorders>
          </w:tcPr>
          <w:p>
            <w:pPr>
              <w:spacing w:after="0"/>
              <w:rPr>
                <w:sz w:val="10"/>
                <w:szCs w:val="10"/>
                <w:color w:val="auto"/>
              </w:rPr>
            </w:pPr>
          </w:p>
        </w:tc>
        <w:tc>
          <w:tcPr>
            <w:tcW w:w="240" w:type="dxa"/>
            <w:vAlign w:val="bottom"/>
            <w:tcBorders>
              <w:bottom w:val="single" w:sz="8" w:color="E7E7E7"/>
            </w:tcBorders>
          </w:tcPr>
          <w:p>
            <w:pPr>
              <w:spacing w:after="0"/>
              <w:rPr>
                <w:sz w:val="10"/>
                <w:szCs w:val="10"/>
                <w:color w:val="auto"/>
              </w:rPr>
            </w:pPr>
          </w:p>
        </w:tc>
        <w:tc>
          <w:tcPr>
            <w:tcW w:w="60" w:type="dxa"/>
            <w:vAlign w:val="bottom"/>
            <w:tcBorders>
              <w:bottom w:val="single" w:sz="8" w:color="E7E7E7"/>
            </w:tcBorders>
          </w:tcPr>
          <w:p>
            <w:pPr>
              <w:spacing w:after="0"/>
              <w:rPr>
                <w:sz w:val="10"/>
                <w:szCs w:val="10"/>
                <w:color w:val="auto"/>
              </w:rPr>
            </w:pPr>
          </w:p>
        </w:tc>
        <w:tc>
          <w:tcPr>
            <w:tcW w:w="20" w:type="dxa"/>
            <w:vAlign w:val="bottom"/>
            <w:tcBorders>
              <w:bottom w:val="single" w:sz="8" w:color="E7E7E7"/>
            </w:tcBorders>
          </w:tcPr>
          <w:p>
            <w:pPr>
              <w:spacing w:after="0"/>
              <w:rPr>
                <w:sz w:val="10"/>
                <w:szCs w:val="10"/>
                <w:color w:val="auto"/>
              </w:rPr>
            </w:pPr>
          </w:p>
        </w:tc>
        <w:tc>
          <w:tcPr>
            <w:tcW w:w="100" w:type="dxa"/>
            <w:vAlign w:val="bottom"/>
            <w:tcBorders>
              <w:bottom w:val="single" w:sz="8" w:color="E7E7E7"/>
            </w:tcBorders>
          </w:tcPr>
          <w:p>
            <w:pPr>
              <w:spacing w:after="0"/>
              <w:rPr>
                <w:sz w:val="10"/>
                <w:szCs w:val="10"/>
                <w:color w:val="auto"/>
              </w:rPr>
            </w:pPr>
          </w:p>
        </w:tc>
        <w:tc>
          <w:tcPr>
            <w:tcW w:w="660" w:type="dxa"/>
            <w:vAlign w:val="bottom"/>
            <w:tcBorders>
              <w:bottom w:val="single" w:sz="8" w:color="E7E7E7"/>
            </w:tcBorders>
          </w:tcPr>
          <w:p>
            <w:pPr>
              <w:spacing w:after="0"/>
              <w:rPr>
                <w:sz w:val="10"/>
                <w:szCs w:val="10"/>
                <w:color w:val="auto"/>
              </w:rPr>
            </w:pPr>
          </w:p>
        </w:tc>
        <w:tc>
          <w:tcPr>
            <w:tcW w:w="20" w:type="dxa"/>
            <w:vAlign w:val="bottom"/>
            <w:tcBorders>
              <w:bottom w:val="single" w:sz="8" w:color="E7E7E7"/>
            </w:tcBorders>
          </w:tcPr>
          <w:p>
            <w:pPr>
              <w:spacing w:after="0"/>
              <w:rPr>
                <w:sz w:val="10"/>
                <w:szCs w:val="10"/>
                <w:color w:val="auto"/>
              </w:rPr>
            </w:pPr>
          </w:p>
        </w:tc>
        <w:tc>
          <w:tcPr>
            <w:tcW w:w="60" w:type="dxa"/>
            <w:vAlign w:val="bottom"/>
            <w:tcBorders>
              <w:bottom w:val="single" w:sz="8" w:color="E7E7E7"/>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690" w:type="dxa"/>
            <w:vAlign w:val="bottom"/>
            <w:shd w:val="clear" w:color="auto" w:fill="E7E7E7"/>
          </w:tcPr>
          <w:p>
            <w:pPr>
              <w:ind w:left="200"/>
              <w:spacing w:after="0" w:line="224" w:lineRule="exact"/>
              <w:rPr>
                <w:sz w:val="20"/>
                <w:szCs w:val="20"/>
                <w:color w:val="auto"/>
              </w:rPr>
            </w:pPr>
            <w:r>
              <w:rPr>
                <w:rFonts w:ascii="Times New Roman" w:cs="Times New Roman" w:eastAsia="Times New Roman" w:hAnsi="Times New Roman"/>
                <w:sz w:val="20"/>
                <w:szCs w:val="20"/>
                <w:color w:val="auto"/>
              </w:rPr>
              <w:t>Nontaxable or nondeductible items</w:t>
            </w:r>
          </w:p>
        </w:tc>
        <w:tc>
          <w:tcPr>
            <w:tcW w:w="50" w:type="dxa"/>
            <w:vAlign w:val="bottom"/>
            <w:shd w:val="clear" w:color="auto" w:fill="E7E7E7"/>
          </w:tcPr>
          <w:p>
            <w:pPr>
              <w:spacing w:after="0"/>
              <w:rPr>
                <w:sz w:val="19"/>
                <w:szCs w:val="19"/>
                <w:color w:val="auto"/>
              </w:rPr>
            </w:pPr>
          </w:p>
        </w:tc>
        <w:tc>
          <w:tcPr>
            <w:tcW w:w="60" w:type="dxa"/>
            <w:vAlign w:val="bottom"/>
            <w:tcBorders>
              <w:right w:val="single" w:sz="8" w:color="E7E7E7"/>
            </w:tcBorders>
            <w:shd w:val="clear" w:color="auto" w:fill="E7E7E7"/>
          </w:tcPr>
          <w:p>
            <w:pPr>
              <w:spacing w:after="0"/>
              <w:rPr>
                <w:sz w:val="19"/>
                <w:szCs w:val="19"/>
                <w:color w:val="auto"/>
              </w:rPr>
            </w:pPr>
          </w:p>
        </w:tc>
        <w:tc>
          <w:tcPr>
            <w:tcW w:w="540" w:type="dxa"/>
            <w:vAlign w:val="bottom"/>
            <w:shd w:val="clear" w:color="auto" w:fill="E7E7E7"/>
          </w:tcPr>
          <w:p>
            <w:pPr>
              <w:jc w:val="right"/>
              <w:spacing w:after="0" w:line="224" w:lineRule="exact"/>
              <w:rPr>
                <w:sz w:val="20"/>
                <w:szCs w:val="20"/>
                <w:color w:val="auto"/>
              </w:rPr>
            </w:pPr>
            <w:r>
              <w:rPr>
                <w:rFonts w:ascii="Times New Roman" w:cs="Times New Roman" w:eastAsia="Times New Roman" w:hAnsi="Times New Roman"/>
                <w:sz w:val="20"/>
                <w:szCs w:val="20"/>
                <w:color w:val="auto"/>
                <w:shd w:val="clear" w:color="auto" w:fill="E7E7E7"/>
              </w:rPr>
              <w:t>—</w:t>
            </w:r>
          </w:p>
        </w:tc>
        <w:tc>
          <w:tcPr>
            <w:tcW w:w="20" w:type="dxa"/>
            <w:vAlign w:val="bottom"/>
          </w:tcPr>
          <w:p>
            <w:pPr>
              <w:spacing w:after="0"/>
              <w:rPr>
                <w:sz w:val="19"/>
                <w:szCs w:val="19"/>
                <w:color w:val="auto"/>
              </w:rPr>
            </w:pPr>
          </w:p>
        </w:tc>
        <w:tc>
          <w:tcPr>
            <w:tcW w:w="24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640" w:type="dxa"/>
            <w:vAlign w:val="bottom"/>
            <w:shd w:val="clear" w:color="auto" w:fill="E7E7E7"/>
          </w:tcPr>
          <w:p>
            <w:pPr>
              <w:jc w:val="right"/>
              <w:spacing w:after="0" w:line="224" w:lineRule="exact"/>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580" w:type="dxa"/>
            <w:vAlign w:val="bottom"/>
            <w:shd w:val="clear" w:color="auto" w:fill="E7E7E7"/>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7E7E7"/>
          </w:tcPr>
          <w:p>
            <w:pPr>
              <w:spacing w:after="0"/>
              <w:rPr>
                <w:sz w:val="19"/>
                <w:szCs w:val="19"/>
                <w:color w:val="auto"/>
              </w:rPr>
            </w:pPr>
          </w:p>
        </w:tc>
        <w:tc>
          <w:tcPr>
            <w:tcW w:w="6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660" w:type="dxa"/>
            <w:vAlign w:val="bottom"/>
            <w:shd w:val="clear" w:color="auto" w:fill="E7E7E7"/>
          </w:tcPr>
          <w:p>
            <w:pPr>
              <w:jc w:val="right"/>
              <w:spacing w:after="0" w:line="224" w:lineRule="exact"/>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19"/>
                <w:szCs w:val="19"/>
                <w:color w:val="auto"/>
              </w:rPr>
            </w:pPr>
          </w:p>
        </w:tc>
        <w:tc>
          <w:tcPr>
            <w:tcW w:w="60" w:type="dxa"/>
            <w:vAlign w:val="bottom"/>
            <w:shd w:val="clear" w:color="auto" w:fill="E7E7E7"/>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90" w:type="dxa"/>
            <w:vAlign w:val="bottom"/>
            <w:tcBorders>
              <w:bottom w:val="single" w:sz="8" w:color="E7E7E7"/>
            </w:tcBorders>
          </w:tcPr>
          <w:p>
            <w:pPr>
              <w:ind w:left="200"/>
              <w:spacing w:after="0"/>
              <w:rPr>
                <w:sz w:val="20"/>
                <w:szCs w:val="20"/>
                <w:color w:val="auto"/>
              </w:rPr>
            </w:pPr>
            <w:r>
              <w:rPr>
                <w:rFonts w:ascii="Times New Roman" w:cs="Times New Roman" w:eastAsia="Times New Roman" w:hAnsi="Times New Roman"/>
                <w:sz w:val="20"/>
                <w:szCs w:val="20"/>
                <w:color w:val="auto"/>
              </w:rPr>
              <w:t>Foreign Tax Effects</w:t>
            </w:r>
          </w:p>
        </w:tc>
        <w:tc>
          <w:tcPr>
            <w:tcW w:w="110" w:type="dxa"/>
            <w:vAlign w:val="bottom"/>
            <w:tcBorders>
              <w:bottom w:val="single" w:sz="8" w:color="E7E7E7"/>
            </w:tcBorders>
            <w:gridSpan w:val="2"/>
          </w:tcPr>
          <w:p>
            <w:pPr>
              <w:spacing w:after="0"/>
              <w:rPr>
                <w:sz w:val="21"/>
                <w:szCs w:val="21"/>
                <w:color w:val="auto"/>
              </w:rPr>
            </w:pPr>
          </w:p>
        </w:tc>
        <w:tc>
          <w:tcPr>
            <w:tcW w:w="54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20" w:type="dxa"/>
            <w:vAlign w:val="bottom"/>
            <w:tcBorders>
              <w:bottom w:val="single" w:sz="8" w:color="E7E7E7"/>
            </w:tcBorders>
          </w:tcPr>
          <w:p>
            <w:pPr>
              <w:spacing w:after="0"/>
              <w:rPr>
                <w:sz w:val="21"/>
                <w:szCs w:val="21"/>
                <w:color w:val="auto"/>
              </w:rPr>
            </w:pPr>
          </w:p>
        </w:tc>
        <w:tc>
          <w:tcPr>
            <w:tcW w:w="240" w:type="dxa"/>
            <w:vAlign w:val="bottom"/>
            <w:tcBorders>
              <w:bottom w:val="single" w:sz="8" w:color="E7E7E7"/>
            </w:tcBorders>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120" w:type="dxa"/>
            <w:vAlign w:val="bottom"/>
            <w:tcBorders>
              <w:bottom w:val="single" w:sz="8" w:color="E7E7E7"/>
            </w:tcBorders>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120" w:type="dxa"/>
            <w:vAlign w:val="bottom"/>
            <w:tcBorders>
              <w:bottom w:val="single" w:sz="8" w:color="E7E7E7"/>
            </w:tcBorders>
          </w:tcPr>
          <w:p>
            <w:pPr>
              <w:spacing w:after="0"/>
              <w:rPr>
                <w:sz w:val="21"/>
                <w:szCs w:val="21"/>
                <w:color w:val="auto"/>
              </w:rPr>
            </w:pPr>
          </w:p>
        </w:tc>
        <w:tc>
          <w:tcPr>
            <w:tcW w:w="64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7E7E7"/>
            </w:tcBorders>
          </w:tcPr>
          <w:p>
            <w:pPr>
              <w:spacing w:after="0"/>
              <w:rPr>
                <w:sz w:val="21"/>
                <w:szCs w:val="21"/>
                <w:color w:val="auto"/>
              </w:rPr>
            </w:pPr>
          </w:p>
        </w:tc>
        <w:tc>
          <w:tcPr>
            <w:tcW w:w="60" w:type="dxa"/>
            <w:vAlign w:val="bottom"/>
            <w:tcBorders>
              <w:bottom w:val="single" w:sz="8" w:color="E7E7E7"/>
            </w:tcBorders>
            <w:gridSpan w:val="2"/>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5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7E7E7"/>
            </w:tcBorders>
          </w:tcPr>
          <w:p>
            <w:pPr>
              <w:spacing w:after="0"/>
              <w:rPr>
                <w:sz w:val="21"/>
                <w:szCs w:val="21"/>
                <w:color w:val="auto"/>
              </w:rPr>
            </w:pPr>
          </w:p>
        </w:tc>
        <w:tc>
          <w:tcPr>
            <w:tcW w:w="6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66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7E7E7"/>
            </w:tcBorders>
          </w:tcPr>
          <w:p>
            <w:pPr>
              <w:spacing w:after="0"/>
              <w:rPr>
                <w:sz w:val="21"/>
                <w:szCs w:val="21"/>
                <w:color w:val="auto"/>
              </w:rPr>
            </w:pPr>
          </w:p>
        </w:tc>
        <w:tc>
          <w:tcPr>
            <w:tcW w:w="60" w:type="dxa"/>
            <w:vAlign w:val="bottom"/>
            <w:tcBorders>
              <w:bottom w:val="single" w:sz="8" w:color="E7E7E7"/>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90" w:type="dxa"/>
            <w:vAlign w:val="bottom"/>
            <w:shd w:val="clear" w:color="auto" w:fill="E7E7E7"/>
          </w:tcPr>
          <w:p>
            <w:pPr>
              <w:ind w:left="200"/>
              <w:spacing w:after="0" w:line="225" w:lineRule="exact"/>
              <w:rPr>
                <w:sz w:val="20"/>
                <w:szCs w:val="20"/>
                <w:color w:val="auto"/>
              </w:rPr>
            </w:pPr>
            <w:r>
              <w:rPr>
                <w:rFonts w:ascii="Times New Roman" w:cs="Times New Roman" w:eastAsia="Times New Roman" w:hAnsi="Times New Roman"/>
                <w:sz w:val="20"/>
                <w:szCs w:val="20"/>
                <w:color w:val="auto"/>
              </w:rPr>
              <w:t>Effects of Cross-Border Tax Laws</w:t>
            </w:r>
          </w:p>
        </w:tc>
        <w:tc>
          <w:tcPr>
            <w:tcW w:w="50" w:type="dxa"/>
            <w:vAlign w:val="bottom"/>
            <w:shd w:val="clear" w:color="auto" w:fill="E7E7E7"/>
          </w:tcPr>
          <w:p>
            <w:pPr>
              <w:spacing w:after="0"/>
              <w:rPr>
                <w:sz w:val="19"/>
                <w:szCs w:val="19"/>
                <w:color w:val="auto"/>
              </w:rPr>
            </w:pPr>
          </w:p>
        </w:tc>
        <w:tc>
          <w:tcPr>
            <w:tcW w:w="60" w:type="dxa"/>
            <w:vAlign w:val="bottom"/>
            <w:tcBorders>
              <w:right w:val="single" w:sz="8" w:color="E7E7E7"/>
            </w:tcBorders>
            <w:shd w:val="clear" w:color="auto" w:fill="E7E7E7"/>
          </w:tcPr>
          <w:p>
            <w:pPr>
              <w:spacing w:after="0"/>
              <w:rPr>
                <w:sz w:val="19"/>
                <w:szCs w:val="19"/>
                <w:color w:val="auto"/>
              </w:rPr>
            </w:pPr>
          </w:p>
        </w:tc>
        <w:tc>
          <w:tcPr>
            <w:tcW w:w="54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E7E7E7"/>
              </w:rPr>
              <w:t>—</w:t>
            </w:r>
          </w:p>
        </w:tc>
        <w:tc>
          <w:tcPr>
            <w:tcW w:w="20" w:type="dxa"/>
            <w:vAlign w:val="bottom"/>
          </w:tcPr>
          <w:p>
            <w:pPr>
              <w:spacing w:after="0"/>
              <w:rPr>
                <w:sz w:val="19"/>
                <w:szCs w:val="19"/>
                <w:color w:val="auto"/>
              </w:rPr>
            </w:pPr>
          </w:p>
        </w:tc>
        <w:tc>
          <w:tcPr>
            <w:tcW w:w="24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64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58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7E7E7"/>
          </w:tcPr>
          <w:p>
            <w:pPr>
              <w:spacing w:after="0"/>
              <w:rPr>
                <w:sz w:val="19"/>
                <w:szCs w:val="19"/>
                <w:color w:val="auto"/>
              </w:rPr>
            </w:pPr>
          </w:p>
        </w:tc>
        <w:tc>
          <w:tcPr>
            <w:tcW w:w="6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66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60" w:type="dxa"/>
            <w:vAlign w:val="bottom"/>
            <w:shd w:val="clear" w:color="auto" w:fill="E7E7E7"/>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90" w:type="dxa"/>
            <w:vAlign w:val="bottom"/>
            <w:tcBorders>
              <w:bottom w:val="single" w:sz="8" w:color="E7E7E7"/>
            </w:tcBorders>
          </w:tcPr>
          <w:p>
            <w:pPr>
              <w:ind w:left="200"/>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110" w:type="dxa"/>
            <w:vAlign w:val="bottom"/>
            <w:tcBorders>
              <w:bottom w:val="single" w:sz="8" w:color="E7E7E7"/>
            </w:tcBorders>
            <w:gridSpan w:val="2"/>
          </w:tcPr>
          <w:p>
            <w:pPr>
              <w:spacing w:after="0"/>
              <w:rPr>
                <w:sz w:val="21"/>
                <w:szCs w:val="21"/>
                <w:color w:val="auto"/>
              </w:rPr>
            </w:pPr>
          </w:p>
        </w:tc>
        <w:tc>
          <w:tcPr>
            <w:tcW w:w="54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20" w:type="dxa"/>
            <w:vAlign w:val="bottom"/>
            <w:tcBorders>
              <w:bottom w:val="single" w:sz="8" w:color="E7E7E7"/>
            </w:tcBorders>
          </w:tcPr>
          <w:p>
            <w:pPr>
              <w:spacing w:after="0"/>
              <w:rPr>
                <w:sz w:val="21"/>
                <w:szCs w:val="21"/>
                <w:color w:val="auto"/>
              </w:rPr>
            </w:pPr>
          </w:p>
        </w:tc>
        <w:tc>
          <w:tcPr>
            <w:tcW w:w="240" w:type="dxa"/>
            <w:vAlign w:val="bottom"/>
            <w:tcBorders>
              <w:bottom w:val="single" w:sz="8" w:color="E7E7E7"/>
            </w:tcBorders>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120" w:type="dxa"/>
            <w:vAlign w:val="bottom"/>
            <w:tcBorders>
              <w:bottom w:val="single" w:sz="8" w:color="E7E7E7"/>
            </w:tcBorders>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120" w:type="dxa"/>
            <w:vAlign w:val="bottom"/>
            <w:tcBorders>
              <w:bottom w:val="single" w:sz="8" w:color="E7E7E7"/>
            </w:tcBorders>
          </w:tcPr>
          <w:p>
            <w:pPr>
              <w:spacing w:after="0"/>
              <w:rPr>
                <w:sz w:val="21"/>
                <w:szCs w:val="21"/>
                <w:color w:val="auto"/>
              </w:rPr>
            </w:pPr>
          </w:p>
        </w:tc>
        <w:tc>
          <w:tcPr>
            <w:tcW w:w="64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7E7E7"/>
            </w:tcBorders>
          </w:tcPr>
          <w:p>
            <w:pPr>
              <w:spacing w:after="0"/>
              <w:rPr>
                <w:sz w:val="21"/>
                <w:szCs w:val="21"/>
                <w:color w:val="auto"/>
              </w:rPr>
            </w:pPr>
          </w:p>
        </w:tc>
        <w:tc>
          <w:tcPr>
            <w:tcW w:w="60" w:type="dxa"/>
            <w:vAlign w:val="bottom"/>
            <w:tcBorders>
              <w:bottom w:val="single" w:sz="8" w:color="E7E7E7"/>
            </w:tcBorders>
            <w:gridSpan w:val="2"/>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5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7E7E7"/>
            </w:tcBorders>
          </w:tcPr>
          <w:p>
            <w:pPr>
              <w:spacing w:after="0"/>
              <w:rPr>
                <w:sz w:val="21"/>
                <w:szCs w:val="21"/>
                <w:color w:val="auto"/>
              </w:rPr>
            </w:pPr>
          </w:p>
        </w:tc>
        <w:tc>
          <w:tcPr>
            <w:tcW w:w="6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66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7E7E7"/>
            </w:tcBorders>
          </w:tcPr>
          <w:p>
            <w:pPr>
              <w:spacing w:after="0"/>
              <w:rPr>
                <w:sz w:val="21"/>
                <w:szCs w:val="21"/>
                <w:color w:val="auto"/>
              </w:rPr>
            </w:pPr>
          </w:p>
        </w:tc>
        <w:tc>
          <w:tcPr>
            <w:tcW w:w="60" w:type="dxa"/>
            <w:vAlign w:val="bottom"/>
            <w:tcBorders>
              <w:bottom w:val="single" w:sz="8" w:color="E7E7E7"/>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3690" w:type="dxa"/>
            <w:vAlign w:val="bottom"/>
            <w:vMerge w:val="restart"/>
            <w:shd w:val="clear" w:color="auto" w:fill="E7E7E7"/>
          </w:tcPr>
          <w:p>
            <w:pPr>
              <w:ind w:left="200"/>
              <w:spacing w:after="0" w:line="203" w:lineRule="exact"/>
              <w:rPr>
                <w:sz w:val="20"/>
                <w:szCs w:val="20"/>
                <w:color w:val="auto"/>
              </w:rPr>
            </w:pPr>
            <w:r>
              <w:rPr>
                <w:rFonts w:ascii="Times New Roman" w:cs="Times New Roman" w:eastAsia="Times New Roman" w:hAnsi="Times New Roman"/>
                <w:sz w:val="20"/>
                <w:szCs w:val="20"/>
                <w:color w:val="auto"/>
              </w:rPr>
              <w:t>Effect of Changes in Tax Laws or Rates</w:t>
            </w:r>
          </w:p>
        </w:tc>
        <w:tc>
          <w:tcPr>
            <w:tcW w:w="110" w:type="dxa"/>
            <w:vAlign w:val="bottom"/>
            <w:tcBorders>
              <w:right w:val="single" w:sz="8" w:color="E7E7E7"/>
            </w:tcBorders>
            <w:gridSpan w:val="2"/>
            <w:shd w:val="clear" w:color="auto" w:fill="E7E7E7"/>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E7E7E7"/>
          </w:tcPr>
          <w:p>
            <w:pPr>
              <w:spacing w:after="0"/>
              <w:rPr>
                <w:sz w:val="9"/>
                <w:szCs w:val="9"/>
                <w:color w:val="auto"/>
              </w:rPr>
            </w:pPr>
          </w:p>
        </w:tc>
        <w:tc>
          <w:tcPr>
            <w:tcW w:w="40" w:type="dxa"/>
            <w:vAlign w:val="bottom"/>
            <w:shd w:val="clear" w:color="auto" w:fill="E7E7E7"/>
          </w:tcPr>
          <w:p>
            <w:pPr>
              <w:spacing w:after="0"/>
              <w:rPr>
                <w:sz w:val="9"/>
                <w:szCs w:val="9"/>
                <w:color w:val="auto"/>
              </w:rPr>
            </w:pPr>
          </w:p>
        </w:tc>
        <w:tc>
          <w:tcPr>
            <w:tcW w:w="120" w:type="dxa"/>
            <w:vAlign w:val="bottom"/>
            <w:shd w:val="clear" w:color="auto" w:fill="E7E7E7"/>
          </w:tcPr>
          <w:p>
            <w:pPr>
              <w:spacing w:after="0"/>
              <w:rPr>
                <w:sz w:val="9"/>
                <w:szCs w:val="9"/>
                <w:color w:val="auto"/>
              </w:rPr>
            </w:pPr>
          </w:p>
        </w:tc>
        <w:tc>
          <w:tcPr>
            <w:tcW w:w="40" w:type="dxa"/>
            <w:vAlign w:val="bottom"/>
            <w:shd w:val="clear" w:color="auto" w:fill="E7E7E7"/>
          </w:tcPr>
          <w:p>
            <w:pPr>
              <w:spacing w:after="0"/>
              <w:rPr>
                <w:sz w:val="9"/>
                <w:szCs w:val="9"/>
                <w:color w:val="auto"/>
              </w:rPr>
            </w:pPr>
          </w:p>
        </w:tc>
        <w:tc>
          <w:tcPr>
            <w:tcW w:w="120" w:type="dxa"/>
            <w:vAlign w:val="bottom"/>
            <w:shd w:val="clear" w:color="auto" w:fill="E7E7E7"/>
          </w:tcPr>
          <w:p>
            <w:pPr>
              <w:spacing w:after="0"/>
              <w:rPr>
                <w:sz w:val="9"/>
                <w:szCs w:val="9"/>
                <w:color w:val="auto"/>
              </w:rPr>
            </w:pPr>
          </w:p>
        </w:tc>
        <w:tc>
          <w:tcPr>
            <w:tcW w:w="640" w:type="dxa"/>
            <w:vAlign w:val="bottom"/>
            <w:shd w:val="clear" w:color="auto" w:fill="E7E7E7"/>
          </w:tcPr>
          <w:p>
            <w:pPr>
              <w:spacing w:after="0"/>
              <w:rPr>
                <w:sz w:val="9"/>
                <w:szCs w:val="9"/>
                <w:color w:val="auto"/>
              </w:rPr>
            </w:pPr>
          </w:p>
        </w:tc>
        <w:tc>
          <w:tcPr>
            <w:tcW w:w="80" w:type="dxa"/>
            <w:vAlign w:val="bottom"/>
            <w:shd w:val="clear" w:color="auto" w:fill="E7E7E7"/>
          </w:tcPr>
          <w:p>
            <w:pPr>
              <w:spacing w:after="0"/>
              <w:rPr>
                <w:sz w:val="9"/>
                <w:szCs w:val="9"/>
                <w:color w:val="auto"/>
              </w:rPr>
            </w:pPr>
          </w:p>
        </w:tc>
        <w:tc>
          <w:tcPr>
            <w:tcW w:w="40" w:type="dxa"/>
            <w:vAlign w:val="bottom"/>
            <w:shd w:val="clear" w:color="auto" w:fill="E7E7E7"/>
          </w:tcPr>
          <w:p>
            <w:pPr>
              <w:spacing w:after="0"/>
              <w:rPr>
                <w:sz w:val="9"/>
                <w:szCs w:val="9"/>
                <w:color w:val="auto"/>
              </w:rPr>
            </w:pPr>
          </w:p>
        </w:tc>
        <w:tc>
          <w:tcPr>
            <w:tcW w:w="20" w:type="dxa"/>
            <w:vAlign w:val="bottom"/>
            <w:shd w:val="clear" w:color="auto" w:fill="E7E7E7"/>
          </w:tcPr>
          <w:p>
            <w:pPr>
              <w:spacing w:after="0"/>
              <w:rPr>
                <w:sz w:val="9"/>
                <w:szCs w:val="9"/>
                <w:color w:val="auto"/>
              </w:rPr>
            </w:pPr>
          </w:p>
        </w:tc>
        <w:tc>
          <w:tcPr>
            <w:tcW w:w="40" w:type="dxa"/>
            <w:vAlign w:val="bottom"/>
            <w:shd w:val="clear" w:color="auto" w:fill="E7E7E7"/>
          </w:tcPr>
          <w:p>
            <w:pPr>
              <w:spacing w:after="0"/>
              <w:rPr>
                <w:sz w:val="9"/>
                <w:szCs w:val="9"/>
                <w:color w:val="auto"/>
              </w:rPr>
            </w:pPr>
          </w:p>
        </w:tc>
        <w:tc>
          <w:tcPr>
            <w:tcW w:w="580" w:type="dxa"/>
            <w:vAlign w:val="bottom"/>
            <w:shd w:val="clear" w:color="auto" w:fill="E7E7E7"/>
          </w:tcPr>
          <w:p>
            <w:pPr>
              <w:spacing w:after="0"/>
              <w:rPr>
                <w:sz w:val="9"/>
                <w:szCs w:val="9"/>
                <w:color w:val="auto"/>
              </w:rPr>
            </w:pPr>
          </w:p>
        </w:tc>
        <w:tc>
          <w:tcPr>
            <w:tcW w:w="240" w:type="dxa"/>
            <w:vAlign w:val="bottom"/>
            <w:shd w:val="clear" w:color="auto" w:fill="E7E7E7"/>
          </w:tcPr>
          <w:p>
            <w:pPr>
              <w:spacing w:after="0"/>
              <w:rPr>
                <w:sz w:val="9"/>
                <w:szCs w:val="9"/>
                <w:color w:val="auto"/>
              </w:rPr>
            </w:pPr>
          </w:p>
        </w:tc>
        <w:tc>
          <w:tcPr>
            <w:tcW w:w="60" w:type="dxa"/>
            <w:vAlign w:val="bottom"/>
            <w:shd w:val="clear" w:color="auto" w:fill="E7E7E7"/>
          </w:tcPr>
          <w:p>
            <w:pPr>
              <w:spacing w:after="0"/>
              <w:rPr>
                <w:sz w:val="9"/>
                <w:szCs w:val="9"/>
                <w:color w:val="auto"/>
              </w:rPr>
            </w:pPr>
          </w:p>
        </w:tc>
        <w:tc>
          <w:tcPr>
            <w:tcW w:w="20" w:type="dxa"/>
            <w:vAlign w:val="bottom"/>
            <w:shd w:val="clear" w:color="auto" w:fill="E7E7E7"/>
          </w:tcPr>
          <w:p>
            <w:pPr>
              <w:spacing w:after="0"/>
              <w:rPr>
                <w:sz w:val="9"/>
                <w:szCs w:val="9"/>
                <w:color w:val="auto"/>
              </w:rPr>
            </w:pPr>
          </w:p>
        </w:tc>
        <w:tc>
          <w:tcPr>
            <w:tcW w:w="100" w:type="dxa"/>
            <w:vAlign w:val="bottom"/>
            <w:shd w:val="clear" w:color="auto" w:fill="E7E7E7"/>
          </w:tcPr>
          <w:p>
            <w:pPr>
              <w:spacing w:after="0"/>
              <w:rPr>
                <w:sz w:val="9"/>
                <w:szCs w:val="9"/>
                <w:color w:val="auto"/>
              </w:rPr>
            </w:pPr>
          </w:p>
        </w:tc>
        <w:tc>
          <w:tcPr>
            <w:tcW w:w="660" w:type="dxa"/>
            <w:vAlign w:val="bottom"/>
            <w:shd w:val="clear" w:color="auto" w:fill="E7E7E7"/>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shd w:val="clear" w:color="auto" w:fill="E7E7E7"/>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690" w:type="dxa"/>
            <w:vAlign w:val="bottom"/>
            <w:vMerge w:val="continue"/>
            <w:shd w:val="clear" w:color="auto" w:fill="E7E7E7"/>
          </w:tcPr>
          <w:p>
            <w:pPr>
              <w:spacing w:after="0"/>
              <w:rPr>
                <w:sz w:val="8"/>
                <w:szCs w:val="8"/>
                <w:color w:val="auto"/>
              </w:rPr>
            </w:pPr>
          </w:p>
        </w:tc>
        <w:tc>
          <w:tcPr>
            <w:tcW w:w="50" w:type="dxa"/>
            <w:vAlign w:val="bottom"/>
            <w:shd w:val="clear" w:color="auto" w:fill="E7E7E7"/>
          </w:tcPr>
          <w:p>
            <w:pPr>
              <w:spacing w:after="0"/>
              <w:rPr>
                <w:sz w:val="8"/>
                <w:szCs w:val="8"/>
                <w:color w:val="auto"/>
              </w:rPr>
            </w:pPr>
          </w:p>
        </w:tc>
        <w:tc>
          <w:tcPr>
            <w:tcW w:w="60" w:type="dxa"/>
            <w:vAlign w:val="bottom"/>
            <w:tcBorders>
              <w:right w:val="single" w:sz="8" w:color="E7E7E7"/>
            </w:tcBorders>
            <w:shd w:val="clear" w:color="auto" w:fill="E7E7E7"/>
          </w:tcPr>
          <w:p>
            <w:pPr>
              <w:spacing w:after="0"/>
              <w:rPr>
                <w:sz w:val="8"/>
                <w:szCs w:val="8"/>
                <w:color w:val="auto"/>
              </w:rPr>
            </w:pPr>
          </w:p>
        </w:tc>
        <w:tc>
          <w:tcPr>
            <w:tcW w:w="54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8"/>
                <w:szCs w:val="8"/>
                <w:color w:val="auto"/>
              </w:rPr>
            </w:pPr>
          </w:p>
        </w:tc>
        <w:tc>
          <w:tcPr>
            <w:tcW w:w="240" w:type="dxa"/>
            <w:vAlign w:val="bottom"/>
            <w:shd w:val="clear" w:color="auto" w:fill="E7E7E7"/>
          </w:tcPr>
          <w:p>
            <w:pPr>
              <w:spacing w:after="0"/>
              <w:rPr>
                <w:sz w:val="8"/>
                <w:szCs w:val="8"/>
                <w:color w:val="auto"/>
              </w:rPr>
            </w:pPr>
          </w:p>
        </w:tc>
        <w:tc>
          <w:tcPr>
            <w:tcW w:w="40" w:type="dxa"/>
            <w:vAlign w:val="bottom"/>
            <w:shd w:val="clear" w:color="auto" w:fill="E7E7E7"/>
          </w:tcPr>
          <w:p>
            <w:pPr>
              <w:spacing w:after="0"/>
              <w:rPr>
                <w:sz w:val="8"/>
                <w:szCs w:val="8"/>
                <w:color w:val="auto"/>
              </w:rPr>
            </w:pPr>
          </w:p>
        </w:tc>
        <w:tc>
          <w:tcPr>
            <w:tcW w:w="120" w:type="dxa"/>
            <w:vAlign w:val="bottom"/>
            <w:shd w:val="clear" w:color="auto" w:fill="E7E7E7"/>
          </w:tcPr>
          <w:p>
            <w:pPr>
              <w:spacing w:after="0"/>
              <w:rPr>
                <w:sz w:val="8"/>
                <w:szCs w:val="8"/>
                <w:color w:val="auto"/>
              </w:rPr>
            </w:pPr>
          </w:p>
        </w:tc>
        <w:tc>
          <w:tcPr>
            <w:tcW w:w="40" w:type="dxa"/>
            <w:vAlign w:val="bottom"/>
            <w:shd w:val="clear" w:color="auto" w:fill="E7E7E7"/>
          </w:tcPr>
          <w:p>
            <w:pPr>
              <w:spacing w:after="0"/>
              <w:rPr>
                <w:sz w:val="8"/>
                <w:szCs w:val="8"/>
                <w:color w:val="auto"/>
              </w:rPr>
            </w:pPr>
          </w:p>
        </w:tc>
        <w:tc>
          <w:tcPr>
            <w:tcW w:w="120" w:type="dxa"/>
            <w:vAlign w:val="bottom"/>
            <w:shd w:val="clear" w:color="auto" w:fill="E7E7E7"/>
          </w:tcPr>
          <w:p>
            <w:pPr>
              <w:spacing w:after="0"/>
              <w:rPr>
                <w:sz w:val="8"/>
                <w:szCs w:val="8"/>
                <w:color w:val="auto"/>
              </w:rPr>
            </w:pPr>
          </w:p>
        </w:tc>
        <w:tc>
          <w:tcPr>
            <w:tcW w:w="64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8"/>
                <w:szCs w:val="8"/>
                <w:color w:val="auto"/>
              </w:rPr>
            </w:pPr>
          </w:p>
        </w:tc>
        <w:tc>
          <w:tcPr>
            <w:tcW w:w="40" w:type="dxa"/>
            <w:vAlign w:val="bottom"/>
            <w:shd w:val="clear" w:color="auto" w:fill="E7E7E7"/>
          </w:tcPr>
          <w:p>
            <w:pPr>
              <w:spacing w:after="0"/>
              <w:rPr>
                <w:sz w:val="8"/>
                <w:szCs w:val="8"/>
                <w:color w:val="auto"/>
              </w:rPr>
            </w:pPr>
          </w:p>
        </w:tc>
        <w:tc>
          <w:tcPr>
            <w:tcW w:w="20" w:type="dxa"/>
            <w:vAlign w:val="bottom"/>
            <w:shd w:val="clear" w:color="auto" w:fill="E7E7E7"/>
          </w:tcPr>
          <w:p>
            <w:pPr>
              <w:spacing w:after="0"/>
              <w:rPr>
                <w:sz w:val="8"/>
                <w:szCs w:val="8"/>
                <w:color w:val="auto"/>
              </w:rPr>
            </w:pPr>
          </w:p>
        </w:tc>
        <w:tc>
          <w:tcPr>
            <w:tcW w:w="40" w:type="dxa"/>
            <w:vAlign w:val="bottom"/>
            <w:shd w:val="clear" w:color="auto" w:fill="E7E7E7"/>
          </w:tcPr>
          <w:p>
            <w:pPr>
              <w:spacing w:after="0"/>
              <w:rPr>
                <w:sz w:val="8"/>
                <w:szCs w:val="8"/>
                <w:color w:val="auto"/>
              </w:rPr>
            </w:pPr>
          </w:p>
        </w:tc>
        <w:tc>
          <w:tcPr>
            <w:tcW w:w="58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7E7E7"/>
          </w:tcPr>
          <w:p>
            <w:pPr>
              <w:spacing w:after="0"/>
              <w:rPr>
                <w:sz w:val="8"/>
                <w:szCs w:val="8"/>
                <w:color w:val="auto"/>
              </w:rPr>
            </w:pPr>
          </w:p>
        </w:tc>
        <w:tc>
          <w:tcPr>
            <w:tcW w:w="60" w:type="dxa"/>
            <w:vAlign w:val="bottom"/>
            <w:shd w:val="clear" w:color="auto" w:fill="E7E7E7"/>
          </w:tcPr>
          <w:p>
            <w:pPr>
              <w:spacing w:after="0"/>
              <w:rPr>
                <w:sz w:val="8"/>
                <w:szCs w:val="8"/>
                <w:color w:val="auto"/>
              </w:rPr>
            </w:pPr>
          </w:p>
        </w:tc>
        <w:tc>
          <w:tcPr>
            <w:tcW w:w="20" w:type="dxa"/>
            <w:vAlign w:val="bottom"/>
            <w:shd w:val="clear" w:color="auto" w:fill="E7E7E7"/>
          </w:tcPr>
          <w:p>
            <w:pPr>
              <w:spacing w:after="0"/>
              <w:rPr>
                <w:sz w:val="8"/>
                <w:szCs w:val="8"/>
                <w:color w:val="auto"/>
              </w:rPr>
            </w:pPr>
          </w:p>
        </w:tc>
        <w:tc>
          <w:tcPr>
            <w:tcW w:w="100" w:type="dxa"/>
            <w:vAlign w:val="bottom"/>
            <w:shd w:val="clear" w:color="auto" w:fill="E7E7E7"/>
          </w:tcPr>
          <w:p>
            <w:pPr>
              <w:spacing w:after="0"/>
              <w:rPr>
                <w:sz w:val="8"/>
                <w:szCs w:val="8"/>
                <w:color w:val="auto"/>
              </w:rPr>
            </w:pPr>
          </w:p>
        </w:tc>
        <w:tc>
          <w:tcPr>
            <w:tcW w:w="660" w:type="dxa"/>
            <w:vAlign w:val="bottom"/>
            <w:vMerge w:val="restart"/>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8"/>
                <w:szCs w:val="8"/>
                <w:color w:val="auto"/>
              </w:rPr>
            </w:pPr>
          </w:p>
        </w:tc>
        <w:tc>
          <w:tcPr>
            <w:tcW w:w="60" w:type="dxa"/>
            <w:vAlign w:val="bottom"/>
            <w:shd w:val="clear" w:color="auto" w:fill="E7E7E7"/>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690" w:type="dxa"/>
            <w:vAlign w:val="bottom"/>
            <w:vMerge w:val="restart"/>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Enacted in the Current Period</w:t>
            </w:r>
          </w:p>
        </w:tc>
        <w:tc>
          <w:tcPr>
            <w:tcW w:w="50" w:type="dxa"/>
            <w:vAlign w:val="bottom"/>
            <w:shd w:val="clear" w:color="auto" w:fill="E7E7E7"/>
          </w:tcPr>
          <w:p>
            <w:pPr>
              <w:spacing w:after="0"/>
              <w:rPr>
                <w:sz w:val="11"/>
                <w:szCs w:val="11"/>
                <w:color w:val="auto"/>
              </w:rPr>
            </w:pPr>
          </w:p>
        </w:tc>
        <w:tc>
          <w:tcPr>
            <w:tcW w:w="60" w:type="dxa"/>
            <w:vAlign w:val="bottom"/>
            <w:tcBorders>
              <w:right w:val="single" w:sz="8" w:color="E7E7E7"/>
            </w:tcBorders>
            <w:shd w:val="clear" w:color="auto" w:fill="E7E7E7"/>
          </w:tcPr>
          <w:p>
            <w:pPr>
              <w:spacing w:after="0"/>
              <w:rPr>
                <w:sz w:val="11"/>
                <w:szCs w:val="11"/>
                <w:color w:val="auto"/>
              </w:rPr>
            </w:pPr>
          </w:p>
        </w:tc>
        <w:tc>
          <w:tcPr>
            <w:tcW w:w="540" w:type="dxa"/>
            <w:vAlign w:val="bottom"/>
            <w:vMerge w:val="continue"/>
            <w:shd w:val="clear" w:color="auto" w:fill="E7E7E7"/>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E7E7E7"/>
          </w:tcPr>
          <w:p>
            <w:pPr>
              <w:spacing w:after="0"/>
              <w:rPr>
                <w:sz w:val="11"/>
                <w:szCs w:val="11"/>
                <w:color w:val="auto"/>
              </w:rPr>
            </w:pPr>
          </w:p>
        </w:tc>
        <w:tc>
          <w:tcPr>
            <w:tcW w:w="40" w:type="dxa"/>
            <w:vAlign w:val="bottom"/>
            <w:shd w:val="clear" w:color="auto" w:fill="E7E7E7"/>
          </w:tcPr>
          <w:p>
            <w:pPr>
              <w:spacing w:after="0"/>
              <w:rPr>
                <w:sz w:val="11"/>
                <w:szCs w:val="11"/>
                <w:color w:val="auto"/>
              </w:rPr>
            </w:pPr>
          </w:p>
        </w:tc>
        <w:tc>
          <w:tcPr>
            <w:tcW w:w="120" w:type="dxa"/>
            <w:vAlign w:val="bottom"/>
            <w:shd w:val="clear" w:color="auto" w:fill="E7E7E7"/>
          </w:tcPr>
          <w:p>
            <w:pPr>
              <w:spacing w:after="0"/>
              <w:rPr>
                <w:sz w:val="11"/>
                <w:szCs w:val="11"/>
                <w:color w:val="auto"/>
              </w:rPr>
            </w:pPr>
          </w:p>
        </w:tc>
        <w:tc>
          <w:tcPr>
            <w:tcW w:w="40" w:type="dxa"/>
            <w:vAlign w:val="bottom"/>
            <w:shd w:val="clear" w:color="auto" w:fill="E7E7E7"/>
          </w:tcPr>
          <w:p>
            <w:pPr>
              <w:spacing w:after="0"/>
              <w:rPr>
                <w:sz w:val="11"/>
                <w:szCs w:val="11"/>
                <w:color w:val="auto"/>
              </w:rPr>
            </w:pPr>
          </w:p>
        </w:tc>
        <w:tc>
          <w:tcPr>
            <w:tcW w:w="120" w:type="dxa"/>
            <w:vAlign w:val="bottom"/>
            <w:shd w:val="clear" w:color="auto" w:fill="E7E7E7"/>
          </w:tcPr>
          <w:p>
            <w:pPr>
              <w:spacing w:after="0"/>
              <w:rPr>
                <w:sz w:val="11"/>
                <w:szCs w:val="11"/>
                <w:color w:val="auto"/>
              </w:rPr>
            </w:pPr>
          </w:p>
        </w:tc>
        <w:tc>
          <w:tcPr>
            <w:tcW w:w="640" w:type="dxa"/>
            <w:vAlign w:val="bottom"/>
            <w:vMerge w:val="continue"/>
            <w:shd w:val="clear" w:color="auto" w:fill="E7E7E7"/>
          </w:tcPr>
          <w:p>
            <w:pPr>
              <w:spacing w:after="0"/>
              <w:rPr>
                <w:sz w:val="11"/>
                <w:szCs w:val="11"/>
                <w:color w:val="auto"/>
              </w:rPr>
            </w:pPr>
          </w:p>
        </w:tc>
        <w:tc>
          <w:tcPr>
            <w:tcW w:w="80" w:type="dxa"/>
            <w:vAlign w:val="bottom"/>
            <w:shd w:val="clear" w:color="auto" w:fill="E7E7E7"/>
          </w:tcPr>
          <w:p>
            <w:pPr>
              <w:spacing w:after="0"/>
              <w:rPr>
                <w:sz w:val="11"/>
                <w:szCs w:val="11"/>
                <w:color w:val="auto"/>
              </w:rPr>
            </w:pPr>
          </w:p>
        </w:tc>
        <w:tc>
          <w:tcPr>
            <w:tcW w:w="40" w:type="dxa"/>
            <w:vAlign w:val="bottom"/>
            <w:shd w:val="clear" w:color="auto" w:fill="E7E7E7"/>
          </w:tcPr>
          <w:p>
            <w:pPr>
              <w:spacing w:after="0"/>
              <w:rPr>
                <w:sz w:val="11"/>
                <w:szCs w:val="11"/>
                <w:color w:val="auto"/>
              </w:rPr>
            </w:pPr>
          </w:p>
        </w:tc>
        <w:tc>
          <w:tcPr>
            <w:tcW w:w="20" w:type="dxa"/>
            <w:vAlign w:val="bottom"/>
            <w:shd w:val="clear" w:color="auto" w:fill="E7E7E7"/>
          </w:tcPr>
          <w:p>
            <w:pPr>
              <w:spacing w:after="0"/>
              <w:rPr>
                <w:sz w:val="11"/>
                <w:szCs w:val="11"/>
                <w:color w:val="auto"/>
              </w:rPr>
            </w:pPr>
          </w:p>
        </w:tc>
        <w:tc>
          <w:tcPr>
            <w:tcW w:w="40" w:type="dxa"/>
            <w:vAlign w:val="bottom"/>
            <w:shd w:val="clear" w:color="auto" w:fill="E7E7E7"/>
          </w:tcPr>
          <w:p>
            <w:pPr>
              <w:spacing w:after="0"/>
              <w:rPr>
                <w:sz w:val="11"/>
                <w:szCs w:val="11"/>
                <w:color w:val="auto"/>
              </w:rPr>
            </w:pPr>
          </w:p>
        </w:tc>
        <w:tc>
          <w:tcPr>
            <w:tcW w:w="580" w:type="dxa"/>
            <w:vAlign w:val="bottom"/>
            <w:vMerge w:val="continue"/>
            <w:shd w:val="clear" w:color="auto" w:fill="E7E7E7"/>
          </w:tcPr>
          <w:p>
            <w:pPr>
              <w:spacing w:after="0"/>
              <w:rPr>
                <w:sz w:val="11"/>
                <w:szCs w:val="11"/>
                <w:color w:val="auto"/>
              </w:rPr>
            </w:pPr>
          </w:p>
        </w:tc>
        <w:tc>
          <w:tcPr>
            <w:tcW w:w="240" w:type="dxa"/>
            <w:vAlign w:val="bottom"/>
            <w:shd w:val="clear" w:color="auto" w:fill="E7E7E7"/>
          </w:tcPr>
          <w:p>
            <w:pPr>
              <w:spacing w:after="0"/>
              <w:rPr>
                <w:sz w:val="11"/>
                <w:szCs w:val="11"/>
                <w:color w:val="auto"/>
              </w:rPr>
            </w:pPr>
          </w:p>
        </w:tc>
        <w:tc>
          <w:tcPr>
            <w:tcW w:w="60" w:type="dxa"/>
            <w:vAlign w:val="bottom"/>
            <w:shd w:val="clear" w:color="auto" w:fill="E7E7E7"/>
          </w:tcPr>
          <w:p>
            <w:pPr>
              <w:spacing w:after="0"/>
              <w:rPr>
                <w:sz w:val="11"/>
                <w:szCs w:val="11"/>
                <w:color w:val="auto"/>
              </w:rPr>
            </w:pPr>
          </w:p>
        </w:tc>
        <w:tc>
          <w:tcPr>
            <w:tcW w:w="20" w:type="dxa"/>
            <w:vAlign w:val="bottom"/>
            <w:shd w:val="clear" w:color="auto" w:fill="E7E7E7"/>
          </w:tcPr>
          <w:p>
            <w:pPr>
              <w:spacing w:after="0"/>
              <w:rPr>
                <w:sz w:val="11"/>
                <w:szCs w:val="11"/>
                <w:color w:val="auto"/>
              </w:rPr>
            </w:pPr>
          </w:p>
        </w:tc>
        <w:tc>
          <w:tcPr>
            <w:tcW w:w="100" w:type="dxa"/>
            <w:vAlign w:val="bottom"/>
            <w:shd w:val="clear" w:color="auto" w:fill="E7E7E7"/>
          </w:tcPr>
          <w:p>
            <w:pPr>
              <w:spacing w:after="0"/>
              <w:rPr>
                <w:sz w:val="11"/>
                <w:szCs w:val="11"/>
                <w:color w:val="auto"/>
              </w:rPr>
            </w:pPr>
          </w:p>
        </w:tc>
        <w:tc>
          <w:tcPr>
            <w:tcW w:w="660" w:type="dxa"/>
            <w:vAlign w:val="bottom"/>
            <w:vMerge w:val="continue"/>
            <w:shd w:val="clear" w:color="auto" w:fill="E7E7E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shd w:val="clear" w:color="auto" w:fill="E7E7E7"/>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90" w:type="dxa"/>
            <w:vAlign w:val="bottom"/>
            <w:vMerge w:val="continue"/>
            <w:shd w:val="clear" w:color="auto" w:fill="E7E7E7"/>
          </w:tcPr>
          <w:p>
            <w:pPr>
              <w:spacing w:after="0"/>
              <w:rPr>
                <w:sz w:val="10"/>
                <w:szCs w:val="10"/>
                <w:color w:val="auto"/>
              </w:rPr>
            </w:pPr>
          </w:p>
        </w:tc>
        <w:tc>
          <w:tcPr>
            <w:tcW w:w="50" w:type="dxa"/>
            <w:vAlign w:val="bottom"/>
            <w:shd w:val="clear" w:color="auto" w:fill="E7E7E7"/>
          </w:tcPr>
          <w:p>
            <w:pPr>
              <w:spacing w:after="0"/>
              <w:rPr>
                <w:sz w:val="10"/>
                <w:szCs w:val="10"/>
                <w:color w:val="auto"/>
              </w:rPr>
            </w:pPr>
          </w:p>
        </w:tc>
        <w:tc>
          <w:tcPr>
            <w:tcW w:w="60" w:type="dxa"/>
            <w:vAlign w:val="bottom"/>
            <w:tcBorders>
              <w:right w:val="single" w:sz="8" w:color="E7E7E7"/>
            </w:tcBorders>
            <w:shd w:val="clear" w:color="auto" w:fill="E7E7E7"/>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E7E7E7"/>
          </w:tcPr>
          <w:p>
            <w:pPr>
              <w:spacing w:after="0"/>
              <w:rPr>
                <w:sz w:val="10"/>
                <w:szCs w:val="10"/>
                <w:color w:val="auto"/>
              </w:rPr>
            </w:pPr>
          </w:p>
        </w:tc>
        <w:tc>
          <w:tcPr>
            <w:tcW w:w="40" w:type="dxa"/>
            <w:vAlign w:val="bottom"/>
            <w:shd w:val="clear" w:color="auto" w:fill="E7E7E7"/>
          </w:tcPr>
          <w:p>
            <w:pPr>
              <w:spacing w:after="0"/>
              <w:rPr>
                <w:sz w:val="10"/>
                <w:szCs w:val="10"/>
                <w:color w:val="auto"/>
              </w:rPr>
            </w:pPr>
          </w:p>
        </w:tc>
        <w:tc>
          <w:tcPr>
            <w:tcW w:w="120" w:type="dxa"/>
            <w:vAlign w:val="bottom"/>
            <w:shd w:val="clear" w:color="auto" w:fill="E7E7E7"/>
          </w:tcPr>
          <w:p>
            <w:pPr>
              <w:spacing w:after="0"/>
              <w:rPr>
                <w:sz w:val="10"/>
                <w:szCs w:val="10"/>
                <w:color w:val="auto"/>
              </w:rPr>
            </w:pPr>
          </w:p>
        </w:tc>
        <w:tc>
          <w:tcPr>
            <w:tcW w:w="40" w:type="dxa"/>
            <w:vAlign w:val="bottom"/>
            <w:shd w:val="clear" w:color="auto" w:fill="E7E7E7"/>
          </w:tcPr>
          <w:p>
            <w:pPr>
              <w:spacing w:after="0"/>
              <w:rPr>
                <w:sz w:val="10"/>
                <w:szCs w:val="10"/>
                <w:color w:val="auto"/>
              </w:rPr>
            </w:pPr>
          </w:p>
        </w:tc>
        <w:tc>
          <w:tcPr>
            <w:tcW w:w="120" w:type="dxa"/>
            <w:vAlign w:val="bottom"/>
            <w:shd w:val="clear" w:color="auto" w:fill="E7E7E7"/>
          </w:tcPr>
          <w:p>
            <w:pPr>
              <w:spacing w:after="0"/>
              <w:rPr>
                <w:sz w:val="10"/>
                <w:szCs w:val="10"/>
                <w:color w:val="auto"/>
              </w:rPr>
            </w:pPr>
          </w:p>
        </w:tc>
        <w:tc>
          <w:tcPr>
            <w:tcW w:w="640" w:type="dxa"/>
            <w:vAlign w:val="bottom"/>
            <w:shd w:val="clear" w:color="auto" w:fill="E7E7E7"/>
          </w:tcPr>
          <w:p>
            <w:pPr>
              <w:spacing w:after="0"/>
              <w:rPr>
                <w:sz w:val="10"/>
                <w:szCs w:val="10"/>
                <w:color w:val="auto"/>
              </w:rPr>
            </w:pPr>
          </w:p>
        </w:tc>
        <w:tc>
          <w:tcPr>
            <w:tcW w:w="80" w:type="dxa"/>
            <w:vAlign w:val="bottom"/>
            <w:shd w:val="clear" w:color="auto" w:fill="E7E7E7"/>
          </w:tcPr>
          <w:p>
            <w:pPr>
              <w:spacing w:after="0"/>
              <w:rPr>
                <w:sz w:val="10"/>
                <w:szCs w:val="10"/>
                <w:color w:val="auto"/>
              </w:rPr>
            </w:pPr>
          </w:p>
        </w:tc>
        <w:tc>
          <w:tcPr>
            <w:tcW w:w="40" w:type="dxa"/>
            <w:vAlign w:val="bottom"/>
            <w:shd w:val="clear" w:color="auto" w:fill="E7E7E7"/>
          </w:tcPr>
          <w:p>
            <w:pPr>
              <w:spacing w:after="0"/>
              <w:rPr>
                <w:sz w:val="10"/>
                <w:szCs w:val="10"/>
                <w:color w:val="auto"/>
              </w:rPr>
            </w:pPr>
          </w:p>
        </w:tc>
        <w:tc>
          <w:tcPr>
            <w:tcW w:w="20" w:type="dxa"/>
            <w:vAlign w:val="bottom"/>
            <w:shd w:val="clear" w:color="auto" w:fill="E7E7E7"/>
          </w:tcPr>
          <w:p>
            <w:pPr>
              <w:spacing w:after="0"/>
              <w:rPr>
                <w:sz w:val="10"/>
                <w:szCs w:val="10"/>
                <w:color w:val="auto"/>
              </w:rPr>
            </w:pPr>
          </w:p>
        </w:tc>
        <w:tc>
          <w:tcPr>
            <w:tcW w:w="40" w:type="dxa"/>
            <w:vAlign w:val="bottom"/>
            <w:shd w:val="clear" w:color="auto" w:fill="E7E7E7"/>
          </w:tcPr>
          <w:p>
            <w:pPr>
              <w:spacing w:after="0"/>
              <w:rPr>
                <w:sz w:val="10"/>
                <w:szCs w:val="10"/>
                <w:color w:val="auto"/>
              </w:rPr>
            </w:pPr>
          </w:p>
        </w:tc>
        <w:tc>
          <w:tcPr>
            <w:tcW w:w="580" w:type="dxa"/>
            <w:vAlign w:val="bottom"/>
            <w:shd w:val="clear" w:color="auto" w:fill="E7E7E7"/>
          </w:tcPr>
          <w:p>
            <w:pPr>
              <w:spacing w:after="0"/>
              <w:rPr>
                <w:sz w:val="10"/>
                <w:szCs w:val="10"/>
                <w:color w:val="auto"/>
              </w:rPr>
            </w:pPr>
          </w:p>
        </w:tc>
        <w:tc>
          <w:tcPr>
            <w:tcW w:w="240" w:type="dxa"/>
            <w:vAlign w:val="bottom"/>
            <w:shd w:val="clear" w:color="auto" w:fill="E7E7E7"/>
          </w:tcPr>
          <w:p>
            <w:pPr>
              <w:spacing w:after="0"/>
              <w:rPr>
                <w:sz w:val="10"/>
                <w:szCs w:val="10"/>
                <w:color w:val="auto"/>
              </w:rPr>
            </w:pPr>
          </w:p>
        </w:tc>
        <w:tc>
          <w:tcPr>
            <w:tcW w:w="60" w:type="dxa"/>
            <w:vAlign w:val="bottom"/>
            <w:shd w:val="clear" w:color="auto" w:fill="E7E7E7"/>
          </w:tcPr>
          <w:p>
            <w:pPr>
              <w:spacing w:after="0"/>
              <w:rPr>
                <w:sz w:val="10"/>
                <w:szCs w:val="10"/>
                <w:color w:val="auto"/>
              </w:rPr>
            </w:pPr>
          </w:p>
        </w:tc>
        <w:tc>
          <w:tcPr>
            <w:tcW w:w="20" w:type="dxa"/>
            <w:vAlign w:val="bottom"/>
            <w:shd w:val="clear" w:color="auto" w:fill="E7E7E7"/>
          </w:tcPr>
          <w:p>
            <w:pPr>
              <w:spacing w:after="0"/>
              <w:rPr>
                <w:sz w:val="10"/>
                <w:szCs w:val="10"/>
                <w:color w:val="auto"/>
              </w:rPr>
            </w:pPr>
          </w:p>
        </w:tc>
        <w:tc>
          <w:tcPr>
            <w:tcW w:w="100" w:type="dxa"/>
            <w:vAlign w:val="bottom"/>
            <w:shd w:val="clear" w:color="auto" w:fill="E7E7E7"/>
          </w:tcPr>
          <w:p>
            <w:pPr>
              <w:spacing w:after="0"/>
              <w:rPr>
                <w:sz w:val="10"/>
                <w:szCs w:val="10"/>
                <w:color w:val="auto"/>
              </w:rPr>
            </w:pPr>
          </w:p>
        </w:tc>
        <w:tc>
          <w:tcPr>
            <w:tcW w:w="660" w:type="dxa"/>
            <w:vAlign w:val="bottom"/>
            <w:shd w:val="clear" w:color="auto" w:fill="E7E7E7"/>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shd w:val="clear" w:color="auto" w:fill="E7E7E7"/>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3690" w:type="dxa"/>
            <w:vAlign w:val="bottom"/>
            <w:tcBorders>
              <w:bottom w:val="single" w:sz="8" w:color="E7E7E7"/>
            </w:tcBorders>
          </w:tcPr>
          <w:p>
            <w:pPr>
              <w:ind w:left="200"/>
              <w:spacing w:after="0"/>
              <w:rPr>
                <w:sz w:val="20"/>
                <w:szCs w:val="20"/>
                <w:color w:val="auto"/>
              </w:rPr>
            </w:pPr>
            <w:r>
              <w:rPr>
                <w:rFonts w:ascii="Times New Roman" w:cs="Times New Roman" w:eastAsia="Times New Roman" w:hAnsi="Times New Roman"/>
                <w:sz w:val="20"/>
                <w:szCs w:val="20"/>
                <w:color w:val="auto"/>
              </w:rPr>
              <w:t>Change in valuation allowances</w:t>
            </w:r>
          </w:p>
        </w:tc>
        <w:tc>
          <w:tcPr>
            <w:tcW w:w="110" w:type="dxa"/>
            <w:vAlign w:val="bottom"/>
            <w:tcBorders>
              <w:bottom w:val="single" w:sz="8" w:color="E7E7E7"/>
            </w:tcBorders>
            <w:gridSpan w:val="2"/>
          </w:tcPr>
          <w:p>
            <w:pPr>
              <w:spacing w:after="0"/>
              <w:rPr>
                <w:sz w:val="21"/>
                <w:szCs w:val="21"/>
                <w:color w:val="auto"/>
              </w:rPr>
            </w:pPr>
          </w:p>
        </w:tc>
        <w:tc>
          <w:tcPr>
            <w:tcW w:w="54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17.3</w:t>
            </w:r>
          </w:p>
        </w:tc>
        <w:tc>
          <w:tcPr>
            <w:tcW w:w="20" w:type="dxa"/>
            <w:vAlign w:val="bottom"/>
            <w:tcBorders>
              <w:bottom w:val="single" w:sz="8" w:color="E7E7E7"/>
            </w:tcBorders>
          </w:tcPr>
          <w:p>
            <w:pPr>
              <w:spacing w:after="0"/>
              <w:rPr>
                <w:sz w:val="21"/>
                <w:szCs w:val="21"/>
                <w:color w:val="auto"/>
              </w:rPr>
            </w:pPr>
          </w:p>
        </w:tc>
        <w:tc>
          <w:tcPr>
            <w:tcW w:w="240" w:type="dxa"/>
            <w:vAlign w:val="bottom"/>
            <w:tcBorders>
              <w:bottom w:val="single" w:sz="8" w:color="E7E7E7"/>
            </w:tcBorders>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120" w:type="dxa"/>
            <w:vAlign w:val="bottom"/>
            <w:tcBorders>
              <w:bottom w:val="single" w:sz="8" w:color="E7E7E7"/>
            </w:tcBorders>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120" w:type="dxa"/>
            <w:vAlign w:val="bottom"/>
            <w:tcBorders>
              <w:bottom w:val="single" w:sz="8" w:color="E7E7E7"/>
            </w:tcBorders>
          </w:tcPr>
          <w:p>
            <w:pPr>
              <w:spacing w:after="0"/>
              <w:rPr>
                <w:sz w:val="21"/>
                <w:szCs w:val="21"/>
                <w:color w:val="auto"/>
              </w:rPr>
            </w:pPr>
          </w:p>
        </w:tc>
        <w:tc>
          <w:tcPr>
            <w:tcW w:w="64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8,724</w:t>
            </w:r>
          </w:p>
        </w:tc>
        <w:tc>
          <w:tcPr>
            <w:tcW w:w="80" w:type="dxa"/>
            <w:vAlign w:val="bottom"/>
            <w:tcBorders>
              <w:bottom w:val="single" w:sz="8" w:color="E7E7E7"/>
            </w:tcBorders>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40" w:type="dxa"/>
            <w:vAlign w:val="bottom"/>
            <w:tcBorders>
              <w:bottom w:val="single" w:sz="8" w:color="E7E7E7"/>
            </w:tcBorders>
          </w:tcPr>
          <w:p>
            <w:pPr>
              <w:spacing w:after="0"/>
              <w:rPr>
                <w:sz w:val="21"/>
                <w:szCs w:val="21"/>
                <w:color w:val="auto"/>
              </w:rPr>
            </w:pPr>
          </w:p>
        </w:tc>
        <w:tc>
          <w:tcPr>
            <w:tcW w:w="5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240" w:type="dxa"/>
            <w:vAlign w:val="bottom"/>
            <w:tcBorders>
              <w:bottom w:val="single" w:sz="8" w:color="E7E7E7"/>
            </w:tcBorders>
          </w:tcPr>
          <w:p>
            <w:pPr>
              <w:spacing w:after="0"/>
              <w:rPr>
                <w:sz w:val="21"/>
                <w:szCs w:val="21"/>
                <w:color w:val="auto"/>
              </w:rPr>
            </w:pPr>
          </w:p>
        </w:tc>
        <w:tc>
          <w:tcPr>
            <w:tcW w:w="60" w:type="dxa"/>
            <w:vAlign w:val="bottom"/>
            <w:tcBorders>
              <w:bottom w:val="single" w:sz="8" w:color="E7E7E7"/>
            </w:tcBorders>
          </w:tcPr>
          <w:p>
            <w:pPr>
              <w:spacing w:after="0"/>
              <w:rPr>
                <w:sz w:val="21"/>
                <w:szCs w:val="21"/>
                <w:color w:val="auto"/>
              </w:rPr>
            </w:pPr>
          </w:p>
        </w:tc>
        <w:tc>
          <w:tcPr>
            <w:tcW w:w="20" w:type="dxa"/>
            <w:vAlign w:val="bottom"/>
            <w:tcBorders>
              <w:bottom w:val="single" w:sz="8" w:color="E7E7E7"/>
            </w:tcBorders>
          </w:tcPr>
          <w:p>
            <w:pPr>
              <w:spacing w:after="0"/>
              <w:rPr>
                <w:sz w:val="21"/>
                <w:szCs w:val="21"/>
                <w:color w:val="auto"/>
              </w:rPr>
            </w:pPr>
          </w:p>
        </w:tc>
        <w:tc>
          <w:tcPr>
            <w:tcW w:w="100" w:type="dxa"/>
            <w:vAlign w:val="bottom"/>
            <w:tcBorders>
              <w:bottom w:val="single" w:sz="8" w:color="E7E7E7"/>
            </w:tcBorders>
          </w:tcPr>
          <w:p>
            <w:pPr>
              <w:spacing w:after="0"/>
              <w:rPr>
                <w:sz w:val="21"/>
                <w:szCs w:val="21"/>
                <w:color w:val="auto"/>
              </w:rPr>
            </w:pPr>
          </w:p>
        </w:tc>
        <w:tc>
          <w:tcPr>
            <w:tcW w:w="66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rPr>
              <w:t>11,947</w:t>
            </w:r>
          </w:p>
        </w:tc>
        <w:tc>
          <w:tcPr>
            <w:tcW w:w="20" w:type="dxa"/>
            <w:vAlign w:val="bottom"/>
            <w:tcBorders>
              <w:bottom w:val="single" w:sz="8" w:color="E7E7E7"/>
            </w:tcBorders>
          </w:tcPr>
          <w:p>
            <w:pPr>
              <w:spacing w:after="0"/>
              <w:rPr>
                <w:sz w:val="21"/>
                <w:szCs w:val="21"/>
                <w:color w:val="auto"/>
              </w:rPr>
            </w:pPr>
          </w:p>
        </w:tc>
        <w:tc>
          <w:tcPr>
            <w:tcW w:w="60" w:type="dxa"/>
            <w:vAlign w:val="bottom"/>
            <w:tcBorders>
              <w:bottom w:val="single" w:sz="8" w:color="E7E7E7"/>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90" w:type="dxa"/>
            <w:vAlign w:val="bottom"/>
            <w:shd w:val="clear" w:color="auto" w:fill="E7E7E7"/>
          </w:tcPr>
          <w:p>
            <w:pPr>
              <w:ind w:left="200"/>
              <w:spacing w:after="0" w:line="225" w:lineRule="exact"/>
              <w:rPr>
                <w:sz w:val="20"/>
                <w:szCs w:val="20"/>
                <w:color w:val="auto"/>
              </w:rPr>
            </w:pPr>
            <w:r>
              <w:rPr>
                <w:rFonts w:ascii="Times New Roman" w:cs="Times New Roman" w:eastAsia="Times New Roman" w:hAnsi="Times New Roman"/>
                <w:sz w:val="20"/>
                <w:szCs w:val="20"/>
                <w:color w:val="auto"/>
              </w:rPr>
              <w:t>Stock compensation</w:t>
            </w:r>
          </w:p>
        </w:tc>
        <w:tc>
          <w:tcPr>
            <w:tcW w:w="50" w:type="dxa"/>
            <w:vAlign w:val="bottom"/>
            <w:shd w:val="clear" w:color="auto" w:fill="E7E7E7"/>
          </w:tcPr>
          <w:p>
            <w:pPr>
              <w:spacing w:after="0"/>
              <w:rPr>
                <w:sz w:val="19"/>
                <w:szCs w:val="19"/>
                <w:color w:val="auto"/>
              </w:rPr>
            </w:pPr>
          </w:p>
        </w:tc>
        <w:tc>
          <w:tcPr>
            <w:tcW w:w="60" w:type="dxa"/>
            <w:vAlign w:val="bottom"/>
            <w:tcBorders>
              <w:right w:val="single" w:sz="8" w:color="E7E7E7"/>
            </w:tcBorders>
            <w:shd w:val="clear" w:color="auto" w:fill="E7E7E7"/>
          </w:tcPr>
          <w:p>
            <w:pPr>
              <w:spacing w:after="0"/>
              <w:rPr>
                <w:sz w:val="19"/>
                <w:szCs w:val="19"/>
                <w:color w:val="auto"/>
              </w:rPr>
            </w:pPr>
          </w:p>
        </w:tc>
        <w:tc>
          <w:tcPr>
            <w:tcW w:w="54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E7E7E7"/>
              </w:rPr>
              <w:t>1.5</w:t>
            </w:r>
          </w:p>
        </w:tc>
        <w:tc>
          <w:tcPr>
            <w:tcW w:w="20" w:type="dxa"/>
            <w:vAlign w:val="bottom"/>
          </w:tcPr>
          <w:p>
            <w:pPr>
              <w:spacing w:after="0"/>
              <w:rPr>
                <w:sz w:val="19"/>
                <w:szCs w:val="19"/>
                <w:color w:val="auto"/>
              </w:rPr>
            </w:pPr>
          </w:p>
        </w:tc>
        <w:tc>
          <w:tcPr>
            <w:tcW w:w="24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120" w:type="dxa"/>
            <w:vAlign w:val="bottom"/>
            <w:shd w:val="clear" w:color="auto" w:fill="E7E7E7"/>
          </w:tcPr>
          <w:p>
            <w:pPr>
              <w:spacing w:after="0"/>
              <w:rPr>
                <w:sz w:val="19"/>
                <w:szCs w:val="19"/>
                <w:color w:val="auto"/>
              </w:rPr>
            </w:pPr>
          </w:p>
        </w:tc>
        <w:tc>
          <w:tcPr>
            <w:tcW w:w="64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737</w:t>
            </w:r>
          </w:p>
        </w:tc>
        <w:tc>
          <w:tcPr>
            <w:tcW w:w="8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40" w:type="dxa"/>
            <w:vAlign w:val="bottom"/>
            <w:shd w:val="clear" w:color="auto" w:fill="E7E7E7"/>
          </w:tcPr>
          <w:p>
            <w:pPr>
              <w:spacing w:after="0"/>
              <w:rPr>
                <w:sz w:val="19"/>
                <w:szCs w:val="19"/>
                <w:color w:val="auto"/>
              </w:rPr>
            </w:pPr>
          </w:p>
        </w:tc>
        <w:tc>
          <w:tcPr>
            <w:tcW w:w="58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1.9</w:t>
            </w:r>
          </w:p>
        </w:tc>
        <w:tc>
          <w:tcPr>
            <w:tcW w:w="240" w:type="dxa"/>
            <w:vAlign w:val="bottom"/>
            <w:shd w:val="clear" w:color="auto" w:fill="E7E7E7"/>
          </w:tcPr>
          <w:p>
            <w:pPr>
              <w:spacing w:after="0"/>
              <w:rPr>
                <w:sz w:val="19"/>
                <w:szCs w:val="19"/>
                <w:color w:val="auto"/>
              </w:rPr>
            </w:pPr>
          </w:p>
        </w:tc>
        <w:tc>
          <w:tcPr>
            <w:tcW w:w="60" w:type="dxa"/>
            <w:vAlign w:val="bottom"/>
            <w:shd w:val="clear" w:color="auto" w:fill="E7E7E7"/>
          </w:tcPr>
          <w:p>
            <w:pPr>
              <w:spacing w:after="0"/>
              <w:rPr>
                <w:sz w:val="19"/>
                <w:szCs w:val="19"/>
                <w:color w:val="auto"/>
              </w:rPr>
            </w:pPr>
          </w:p>
        </w:tc>
        <w:tc>
          <w:tcPr>
            <w:tcW w:w="20" w:type="dxa"/>
            <w:vAlign w:val="bottom"/>
            <w:shd w:val="clear" w:color="auto" w:fill="E7E7E7"/>
          </w:tcPr>
          <w:p>
            <w:pPr>
              <w:spacing w:after="0"/>
              <w:rPr>
                <w:sz w:val="19"/>
                <w:szCs w:val="19"/>
                <w:color w:val="auto"/>
              </w:rPr>
            </w:pPr>
          </w:p>
        </w:tc>
        <w:tc>
          <w:tcPr>
            <w:tcW w:w="100" w:type="dxa"/>
            <w:vAlign w:val="bottom"/>
            <w:shd w:val="clear" w:color="auto" w:fill="E7E7E7"/>
          </w:tcPr>
          <w:p>
            <w:pPr>
              <w:spacing w:after="0"/>
              <w:rPr>
                <w:sz w:val="19"/>
                <w:szCs w:val="19"/>
                <w:color w:val="auto"/>
              </w:rPr>
            </w:pPr>
          </w:p>
        </w:tc>
        <w:tc>
          <w:tcPr>
            <w:tcW w:w="660" w:type="dxa"/>
            <w:vAlign w:val="bottom"/>
            <w:shd w:val="clear" w:color="auto" w:fill="E7E7E7"/>
          </w:tcPr>
          <w:p>
            <w:pPr>
              <w:jc w:val="right"/>
              <w:spacing w:after="0" w:line="225" w:lineRule="exact"/>
              <w:rPr>
                <w:sz w:val="20"/>
                <w:szCs w:val="20"/>
                <w:color w:val="auto"/>
              </w:rPr>
            </w:pPr>
            <w:r>
              <w:rPr>
                <w:rFonts w:ascii="Times New Roman" w:cs="Times New Roman" w:eastAsia="Times New Roman" w:hAnsi="Times New Roman"/>
                <w:sz w:val="20"/>
                <w:szCs w:val="20"/>
                <w:color w:val="auto"/>
              </w:rPr>
              <w:t>1,225</w:t>
            </w:r>
          </w:p>
        </w:tc>
        <w:tc>
          <w:tcPr>
            <w:tcW w:w="20" w:type="dxa"/>
            <w:vAlign w:val="bottom"/>
          </w:tcPr>
          <w:p>
            <w:pPr>
              <w:spacing w:after="0"/>
              <w:rPr>
                <w:sz w:val="19"/>
                <w:szCs w:val="19"/>
                <w:color w:val="auto"/>
              </w:rPr>
            </w:pPr>
          </w:p>
        </w:tc>
        <w:tc>
          <w:tcPr>
            <w:tcW w:w="60" w:type="dxa"/>
            <w:vAlign w:val="bottom"/>
            <w:shd w:val="clear" w:color="auto" w:fill="E7E7E7"/>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690" w:type="dxa"/>
            <w:vAlign w:val="bottom"/>
            <w:tcBorders>
              <w:bottom w:val="single" w:sz="8" w:color="E7E7E7"/>
            </w:tcBorders>
          </w:tcPr>
          <w:p>
            <w:pPr>
              <w:ind w:left="200"/>
              <w:spacing w:after="0"/>
              <w:rPr>
                <w:sz w:val="20"/>
                <w:szCs w:val="20"/>
                <w:color w:val="auto"/>
              </w:rPr>
            </w:pPr>
            <w:r>
              <w:rPr>
                <w:rFonts w:ascii="Times New Roman" w:cs="Times New Roman" w:eastAsia="Times New Roman" w:hAnsi="Times New Roman"/>
                <w:sz w:val="20"/>
                <w:szCs w:val="20"/>
                <w:color w:val="auto"/>
              </w:rPr>
              <w:t>Other reconciling items</w:t>
            </w:r>
          </w:p>
        </w:tc>
        <w:tc>
          <w:tcPr>
            <w:tcW w:w="110" w:type="dxa"/>
            <w:vAlign w:val="bottom"/>
            <w:tcBorders>
              <w:bottom w:val="single" w:sz="8" w:color="E7E7E7"/>
            </w:tcBorders>
            <w:gridSpan w:val="2"/>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2</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E7E7E7"/>
            </w:tcBorders>
          </w:tcPr>
          <w:p>
            <w:pPr>
              <w:spacing w:after="0"/>
              <w:rPr>
                <w:sz w:val="22"/>
                <w:szCs w:val="22"/>
                <w:color w:val="auto"/>
              </w:rPr>
            </w:pPr>
          </w:p>
        </w:tc>
        <w:tc>
          <w:tcPr>
            <w:tcW w:w="120" w:type="dxa"/>
            <w:vAlign w:val="bottom"/>
            <w:tcBorders>
              <w:bottom w:val="single" w:sz="8" w:color="E7E7E7"/>
            </w:tcBorders>
          </w:tcPr>
          <w:p>
            <w:pPr>
              <w:spacing w:after="0"/>
              <w:rPr>
                <w:sz w:val="22"/>
                <w:szCs w:val="22"/>
                <w:color w:val="auto"/>
              </w:rPr>
            </w:pPr>
          </w:p>
        </w:tc>
        <w:tc>
          <w:tcPr>
            <w:tcW w:w="40" w:type="dxa"/>
            <w:vAlign w:val="bottom"/>
            <w:tcBorders>
              <w:bottom w:val="single" w:sz="8" w:color="E7E7E7"/>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40" w:type="dxa"/>
            <w:vAlign w:val="bottom"/>
            <w:tcBorders>
              <w:bottom w:val="single" w:sz="8" w:color="E7E7E7"/>
            </w:tcBorders>
          </w:tcPr>
          <w:p>
            <w:pPr>
              <w:spacing w:after="0"/>
              <w:rPr>
                <w:sz w:val="22"/>
                <w:szCs w:val="22"/>
                <w:color w:val="auto"/>
              </w:rPr>
            </w:pPr>
          </w:p>
        </w:tc>
        <w:tc>
          <w:tcPr>
            <w:tcW w:w="20" w:type="dxa"/>
            <w:vAlign w:val="bottom"/>
            <w:tcBorders>
              <w:bottom w:val="single" w:sz="8" w:color="E7E7E7"/>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7E7E7"/>
            </w:tcBorders>
          </w:tcPr>
          <w:p>
            <w:pPr>
              <w:spacing w:after="0"/>
              <w:rPr>
                <w:sz w:val="22"/>
                <w:szCs w:val="22"/>
                <w:color w:val="auto"/>
              </w:rPr>
            </w:pPr>
          </w:p>
        </w:tc>
        <w:tc>
          <w:tcPr>
            <w:tcW w:w="60" w:type="dxa"/>
            <w:vAlign w:val="bottom"/>
            <w:tcBorders>
              <w:bottom w:val="single" w:sz="8" w:color="E7E7E7"/>
            </w:tcBorders>
          </w:tcPr>
          <w:p>
            <w:pPr>
              <w:spacing w:after="0"/>
              <w:rPr>
                <w:sz w:val="22"/>
                <w:szCs w:val="22"/>
                <w:color w:val="auto"/>
              </w:rPr>
            </w:pPr>
          </w:p>
        </w:tc>
        <w:tc>
          <w:tcPr>
            <w:tcW w:w="20" w:type="dxa"/>
            <w:vAlign w:val="bottom"/>
            <w:tcBorders>
              <w:bottom w:val="single" w:sz="8" w:color="E7E7E7"/>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7E7E7"/>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690" w:type="dxa"/>
            <w:vAlign w:val="bottom"/>
            <w:tcBorders>
              <w:top w:val="single" w:sz="8" w:color="E7E7E7"/>
            </w:tcBorders>
            <w:shd w:val="clear" w:color="auto" w:fill="E7E7E7"/>
          </w:tcPr>
          <w:p>
            <w:pPr>
              <w:spacing w:after="0" w:line="215" w:lineRule="exact"/>
              <w:rPr>
                <w:sz w:val="20"/>
                <w:szCs w:val="20"/>
                <w:color w:val="auto"/>
              </w:rPr>
            </w:pPr>
            <w:r>
              <w:rPr>
                <w:rFonts w:ascii="Times New Roman" w:cs="Times New Roman" w:eastAsia="Times New Roman" w:hAnsi="Times New Roman"/>
                <w:sz w:val="20"/>
                <w:szCs w:val="20"/>
                <w:color w:val="auto"/>
              </w:rPr>
              <w:t>Effective income tax rate</w:t>
            </w:r>
          </w:p>
        </w:tc>
        <w:tc>
          <w:tcPr>
            <w:tcW w:w="50" w:type="dxa"/>
            <w:vAlign w:val="bottom"/>
            <w:tcBorders>
              <w:top w:val="single" w:sz="8" w:color="E7E7E7"/>
            </w:tcBorders>
            <w:shd w:val="clear" w:color="auto" w:fill="E7E7E7"/>
          </w:tcPr>
          <w:p>
            <w:pPr>
              <w:spacing w:after="0"/>
              <w:rPr>
                <w:sz w:val="18"/>
                <w:szCs w:val="18"/>
                <w:color w:val="auto"/>
              </w:rPr>
            </w:pPr>
          </w:p>
        </w:tc>
        <w:tc>
          <w:tcPr>
            <w:tcW w:w="60" w:type="dxa"/>
            <w:vAlign w:val="bottom"/>
            <w:tcBorders>
              <w:top w:val="single" w:sz="8" w:color="E7E7E7"/>
              <w:bottom w:val="single" w:sz="8" w:color="auto"/>
              <w:right w:val="single" w:sz="8" w:color="E7E7E7"/>
            </w:tcBorders>
            <w:shd w:val="clear" w:color="auto" w:fill="E7E7E7"/>
          </w:tcPr>
          <w:p>
            <w:pPr>
              <w:spacing w:after="0"/>
              <w:rPr>
                <w:sz w:val="18"/>
                <w:szCs w:val="18"/>
                <w:color w:val="auto"/>
              </w:rPr>
            </w:pPr>
          </w:p>
        </w:tc>
        <w:tc>
          <w:tcPr>
            <w:tcW w:w="540" w:type="dxa"/>
            <w:vAlign w:val="bottom"/>
            <w:tcBorders>
              <w:top w:val="single" w:sz="8" w:color="E7E7E7"/>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u w:val="single" w:color="auto"/>
                <w:color w:val="auto"/>
              </w:rPr>
              <w:t>4</w:t>
            </w:r>
          </w:p>
        </w:tc>
        <w:tc>
          <w:tcPr>
            <w:tcW w:w="20" w:type="dxa"/>
            <w:vAlign w:val="bottom"/>
            <w:tcBorders>
              <w:top w:val="single" w:sz="8" w:color="E7E7E7"/>
              <w:bottom w:val="single" w:sz="8" w:color="auto"/>
            </w:tcBorders>
          </w:tcPr>
          <w:p>
            <w:pPr>
              <w:spacing w:after="0"/>
              <w:rPr>
                <w:sz w:val="18"/>
                <w:szCs w:val="18"/>
                <w:color w:val="auto"/>
              </w:rPr>
            </w:pPr>
          </w:p>
        </w:tc>
        <w:tc>
          <w:tcPr>
            <w:tcW w:w="240" w:type="dxa"/>
            <w:vAlign w:val="bottom"/>
            <w:tcBorders>
              <w:top w:val="single" w:sz="8" w:color="E7E7E7"/>
            </w:tcBorders>
            <w:shd w:val="clear" w:color="auto" w:fill="E7E7E7"/>
          </w:tcPr>
          <w:p>
            <w:pPr>
              <w:spacing w:after="0" w:line="215" w:lineRule="exact"/>
              <w:rPr>
                <w:sz w:val="20"/>
                <w:szCs w:val="20"/>
                <w:color w:val="auto"/>
              </w:rPr>
            </w:pPr>
            <w:r>
              <w:rPr>
                <w:rFonts w:ascii="Times New Roman" w:cs="Times New Roman" w:eastAsia="Times New Roman" w:hAnsi="Times New Roman"/>
                <w:sz w:val="20"/>
                <w:szCs w:val="20"/>
                <w:color w:val="auto"/>
                <w:w w:val="94"/>
                <w:shd w:val="clear" w:color="auto" w:fill="E7E7E7"/>
              </w:rPr>
              <w:t>)%</w:t>
            </w:r>
          </w:p>
        </w:tc>
        <w:tc>
          <w:tcPr>
            <w:tcW w:w="40" w:type="dxa"/>
            <w:vAlign w:val="bottom"/>
            <w:tcBorders>
              <w:top w:val="single" w:sz="8" w:color="E7E7E7"/>
            </w:tcBorders>
            <w:shd w:val="clear" w:color="auto" w:fill="E7E7E7"/>
          </w:tcPr>
          <w:p>
            <w:pPr>
              <w:spacing w:after="0"/>
              <w:rPr>
                <w:sz w:val="18"/>
                <w:szCs w:val="18"/>
                <w:color w:val="auto"/>
              </w:rPr>
            </w:pPr>
          </w:p>
        </w:tc>
        <w:tc>
          <w:tcPr>
            <w:tcW w:w="120" w:type="dxa"/>
            <w:vAlign w:val="bottom"/>
            <w:tcBorders>
              <w:top w:val="single" w:sz="8" w:color="E7E7E7"/>
            </w:tcBorders>
            <w:shd w:val="clear" w:color="auto" w:fill="E7E7E7"/>
          </w:tcPr>
          <w:p>
            <w:pPr>
              <w:spacing w:after="0"/>
              <w:rPr>
                <w:sz w:val="18"/>
                <w:szCs w:val="18"/>
                <w:color w:val="auto"/>
              </w:rPr>
            </w:pPr>
          </w:p>
        </w:tc>
        <w:tc>
          <w:tcPr>
            <w:tcW w:w="40" w:type="dxa"/>
            <w:vAlign w:val="bottom"/>
            <w:tcBorders>
              <w:top w:val="single" w:sz="8" w:color="E7E7E7"/>
            </w:tcBorders>
            <w:shd w:val="clear" w:color="auto" w:fill="E7E7E7"/>
          </w:tcPr>
          <w:p>
            <w:pPr>
              <w:spacing w:after="0"/>
              <w:rPr>
                <w:sz w:val="18"/>
                <w:szCs w:val="18"/>
                <w:color w:val="auto"/>
              </w:rPr>
            </w:pPr>
          </w:p>
        </w:tc>
        <w:tc>
          <w:tcPr>
            <w:tcW w:w="120" w:type="dxa"/>
            <w:vAlign w:val="bottom"/>
            <w:tcBorders>
              <w:top w:val="single" w:sz="8" w:color="E7E7E7"/>
              <w:bottom w:val="single" w:sz="8" w:color="auto"/>
            </w:tcBorders>
            <w:shd w:val="clear" w:color="auto" w:fill="E7E7E7"/>
          </w:tcPr>
          <w:p>
            <w:pPr>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E7E7E7"/>
              </w:rPr>
              <w:t>$</w:t>
            </w:r>
          </w:p>
        </w:tc>
        <w:tc>
          <w:tcPr>
            <w:tcW w:w="640" w:type="dxa"/>
            <w:vAlign w:val="bottom"/>
            <w:tcBorders>
              <w:top w:val="single" w:sz="8" w:color="E7E7E7"/>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E7E7E7"/>
              </w:rPr>
              <w:t>(712</w:t>
            </w:r>
          </w:p>
        </w:tc>
        <w:tc>
          <w:tcPr>
            <w:tcW w:w="80" w:type="dxa"/>
            <w:vAlign w:val="bottom"/>
            <w:tcBorders>
              <w:top w:val="single" w:sz="8" w:color="E7E7E7"/>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4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bottom w:val="single" w:sz="8" w:color="auto"/>
            </w:tcBorders>
            <w:shd w:val="clear" w:color="auto" w:fill="E7E7E7"/>
          </w:tcPr>
          <w:p>
            <w:pPr>
              <w:spacing w:after="0"/>
              <w:rPr>
                <w:sz w:val="18"/>
                <w:szCs w:val="18"/>
                <w:color w:val="auto"/>
              </w:rPr>
            </w:pPr>
          </w:p>
        </w:tc>
        <w:tc>
          <w:tcPr>
            <w:tcW w:w="40" w:type="dxa"/>
            <w:vAlign w:val="bottom"/>
            <w:tcBorders>
              <w:top w:val="single" w:sz="8" w:color="E7E7E7"/>
              <w:bottom w:val="single" w:sz="8" w:color="auto"/>
            </w:tcBorders>
            <w:shd w:val="clear" w:color="auto" w:fill="E7E7E7"/>
          </w:tcPr>
          <w:p>
            <w:pPr>
              <w:spacing w:after="0"/>
              <w:rPr>
                <w:sz w:val="18"/>
                <w:szCs w:val="18"/>
                <w:color w:val="auto"/>
              </w:rPr>
            </w:pPr>
          </w:p>
        </w:tc>
        <w:tc>
          <w:tcPr>
            <w:tcW w:w="580" w:type="dxa"/>
            <w:vAlign w:val="bottom"/>
            <w:tcBorders>
              <w:top w:val="single" w:sz="8" w:color="E7E7E7"/>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E7E7E7"/>
              </w:rPr>
              <w:t>(2.</w:t>
            </w:r>
            <w:r>
              <w:rPr>
                <w:rFonts w:ascii="Times New Roman" w:cs="Times New Roman" w:eastAsia="Times New Roman" w:hAnsi="Times New Roman"/>
                <w:sz w:val="20"/>
                <w:szCs w:val="20"/>
                <w:u w:val="single" w:color="auto"/>
                <w:color w:val="auto"/>
                <w:shd w:val="clear" w:color="auto" w:fill="E7E7E7"/>
              </w:rPr>
              <w:t>4</w:t>
            </w:r>
          </w:p>
        </w:tc>
        <w:tc>
          <w:tcPr>
            <w:tcW w:w="240" w:type="dxa"/>
            <w:vAlign w:val="bottom"/>
            <w:tcBorders>
              <w:top w:val="single" w:sz="8" w:color="E7E7E7"/>
            </w:tcBorders>
            <w:shd w:val="clear" w:color="auto" w:fill="E7E7E7"/>
          </w:tcPr>
          <w:p>
            <w:pPr>
              <w:spacing w:after="0" w:line="215" w:lineRule="exact"/>
              <w:rPr>
                <w:sz w:val="20"/>
                <w:szCs w:val="20"/>
                <w:color w:val="auto"/>
              </w:rPr>
            </w:pPr>
            <w:r>
              <w:rPr>
                <w:rFonts w:ascii="Times New Roman" w:cs="Times New Roman" w:eastAsia="Times New Roman" w:hAnsi="Times New Roman"/>
                <w:sz w:val="20"/>
                <w:szCs w:val="20"/>
                <w:color w:val="auto"/>
                <w:w w:val="94"/>
                <w:shd w:val="clear" w:color="auto" w:fill="E7E7E7"/>
              </w:rPr>
              <w:t>)%</w:t>
            </w:r>
          </w:p>
        </w:tc>
        <w:tc>
          <w:tcPr>
            <w:tcW w:w="60" w:type="dxa"/>
            <w:vAlign w:val="bottom"/>
            <w:tcBorders>
              <w:top w:val="single" w:sz="8" w:color="E7E7E7"/>
            </w:tcBorders>
            <w:shd w:val="clear" w:color="auto" w:fill="E7E7E7"/>
          </w:tcPr>
          <w:p>
            <w:pPr>
              <w:spacing w:after="0"/>
              <w:rPr>
                <w:sz w:val="18"/>
                <w:szCs w:val="18"/>
                <w:color w:val="auto"/>
              </w:rPr>
            </w:pPr>
          </w:p>
        </w:tc>
        <w:tc>
          <w:tcPr>
            <w:tcW w:w="20" w:type="dxa"/>
            <w:vAlign w:val="bottom"/>
            <w:tcBorders>
              <w:top w:val="single" w:sz="8" w:color="E7E7E7"/>
              <w:bottom w:val="single" w:sz="8" w:color="auto"/>
            </w:tcBorders>
            <w:shd w:val="clear" w:color="auto" w:fill="E7E7E7"/>
          </w:tcPr>
          <w:p>
            <w:pPr>
              <w:spacing w:after="0"/>
              <w:rPr>
                <w:sz w:val="18"/>
                <w:szCs w:val="18"/>
                <w:color w:val="auto"/>
              </w:rPr>
            </w:pPr>
          </w:p>
        </w:tc>
        <w:tc>
          <w:tcPr>
            <w:tcW w:w="100" w:type="dxa"/>
            <w:vAlign w:val="bottom"/>
            <w:tcBorders>
              <w:top w:val="single" w:sz="8" w:color="E7E7E7"/>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660" w:type="dxa"/>
            <w:vAlign w:val="bottom"/>
            <w:tcBorders>
              <w:top w:val="single" w:sz="8" w:color="E7E7E7"/>
              <w:bottom w:val="single" w:sz="8" w:color="auto"/>
            </w:tcBorders>
            <w:shd w:val="clear" w:color="auto" w:fill="E7E7E7"/>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E7E7E7"/>
              </w:rPr>
              <w:t>(1,544</w:t>
            </w:r>
          </w:p>
        </w:tc>
        <w:tc>
          <w:tcPr>
            <w:tcW w:w="20" w:type="dxa"/>
            <w:vAlign w:val="bottom"/>
            <w:tcBorders>
              <w:top w:val="single" w:sz="8" w:color="E7E7E7"/>
              <w:bottom w:val="single" w:sz="8" w:color="auto"/>
            </w:tcBorders>
          </w:tcPr>
          <w:p>
            <w:pPr>
              <w:spacing w:after="0"/>
              <w:rPr>
                <w:sz w:val="18"/>
                <w:szCs w:val="18"/>
                <w:color w:val="auto"/>
              </w:rPr>
            </w:pPr>
          </w:p>
        </w:tc>
        <w:tc>
          <w:tcPr>
            <w:tcW w:w="60" w:type="dxa"/>
            <w:vAlign w:val="bottom"/>
            <w:tcBorders>
              <w:top w:val="single" w:sz="8" w:color="E7E7E7"/>
            </w:tcBorders>
            <w:shd w:val="clear" w:color="auto" w:fill="E7E7E7"/>
          </w:tcPr>
          <w:p>
            <w:pPr>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20"/>
        </w:trPr>
        <w:tc>
          <w:tcPr>
            <w:tcW w:w="369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2975610</wp:posOffset>
                </wp:positionH>
                <wp:positionV relativeFrom="paragraph">
                  <wp:posOffset>-2459355</wp:posOffset>
                </wp:positionV>
                <wp:extent cx="115443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3pt,-193.6499pt" to="325.2pt,-193.6499pt" o:allowincell="f" strokecolor="#FFFFFF" strokeweight="0.72pt"/>
            </w:pict>
          </mc:Fallback>
        </mc:AlternateContent>
        <w:drawing>
          <wp:anchor simplePos="0" relativeHeight="251657728" behindDoc="1" locked="0" layoutInCell="0" allowOverlap="1">
            <wp:simplePos x="0" y="0"/>
            <wp:positionH relativeFrom="column">
              <wp:posOffset>594360</wp:posOffset>
            </wp:positionH>
            <wp:positionV relativeFrom="paragraph">
              <wp:posOffset>-2188845</wp:posOffset>
            </wp:positionV>
            <wp:extent cx="4754880" cy="627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
                      <a:extLst>
                        <a:ext uri="{28A0092B-C50C-407E-A947-70E740481C1C}"/>
                      </a:extLst>
                    </a:blip>
                    <a:srcRect/>
                    <a:stretch>
                      <a:fillRect/>
                    </a:stretch>
                  </pic:blipFill>
                  <pic:spPr bwMode="auto">
                    <a:xfrm>
                      <a:off x="0" y="0"/>
                      <a:ext cx="4754880" cy="6273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2956560</wp:posOffset>
                </wp:positionH>
                <wp:positionV relativeFrom="paragraph">
                  <wp:posOffset>-1419860</wp:posOffset>
                </wp:positionV>
                <wp:extent cx="0" cy="15430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8pt,-111.7999pt" to="232.8pt,-99.6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2985135</wp:posOffset>
                </wp:positionH>
                <wp:positionV relativeFrom="paragraph">
                  <wp:posOffset>-1419860</wp:posOffset>
                </wp:positionV>
                <wp:extent cx="0" cy="15430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9811">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05pt,-111.7999pt" to="235.05pt,-99.6499pt" o:allowincell="f" strokecolor="#FFFFFF" strokeweight="1.5599pt"/>
            </w:pict>
          </mc:Fallback>
        </mc:AlternateContent>
        <mc:AlternateContent>
          <mc:Choice Requires="wps">
            <w:drawing>
              <wp:anchor simplePos="0" relativeHeight="251657728" behindDoc="1" locked="0" layoutInCell="0" allowOverlap="1">
                <wp:simplePos x="0" y="0"/>
                <wp:positionH relativeFrom="column">
                  <wp:posOffset>3631565</wp:posOffset>
                </wp:positionH>
                <wp:positionV relativeFrom="paragraph">
                  <wp:posOffset>-1419860</wp:posOffset>
                </wp:positionV>
                <wp:extent cx="0" cy="15430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9811">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95pt,-111.7999pt" to="285.95pt,-99.6499pt" o:allowincell="f" strokecolor="#FFFFFF" strokeweight="1.5599pt"/>
            </w:pict>
          </mc:Fallback>
        </mc:AlternateContent>
        <mc:AlternateContent>
          <mc:Choice Requires="wps">
            <w:drawing>
              <wp:anchor simplePos="0" relativeHeight="251657728" behindDoc="1" locked="0" layoutInCell="0" allowOverlap="1">
                <wp:simplePos x="0" y="0"/>
                <wp:positionH relativeFrom="column">
                  <wp:posOffset>4191000</wp:posOffset>
                </wp:positionH>
                <wp:positionV relativeFrom="paragraph">
                  <wp:posOffset>-1419860</wp:posOffset>
                </wp:positionV>
                <wp:extent cx="0" cy="15430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pt,-111.7999pt" to="330pt,-99.6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4219575</wp:posOffset>
                </wp:positionH>
                <wp:positionV relativeFrom="paragraph">
                  <wp:posOffset>-1419860</wp:posOffset>
                </wp:positionV>
                <wp:extent cx="0" cy="15430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305"/>
                        </a:xfrm>
                        <a:prstGeom prst="line">
                          <a:avLst/>
                        </a:prstGeom>
                        <a:solidFill>
                          <a:srgbClr val="FFFFFF"/>
                        </a:solidFill>
                        <a:ln w="19811">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25pt,-111.7999pt" to="332.25pt,-99.6499pt" o:allowincell="f" strokecolor="#FFFFFF" strokeweight="1.5599pt"/>
            </w:pict>
          </mc:Fallback>
        </mc:AlternateContent>
        <mc:AlternateContent>
          <mc:Choice Requires="wps">
            <w:drawing>
              <wp:anchor simplePos="0" relativeHeight="251657728" behindDoc="1" locked="0" layoutInCell="0" allowOverlap="1">
                <wp:simplePos x="0" y="0"/>
                <wp:positionH relativeFrom="column">
                  <wp:posOffset>594360</wp:posOffset>
                </wp:positionH>
                <wp:positionV relativeFrom="paragraph">
                  <wp:posOffset>-1415415</wp:posOffset>
                </wp:positionV>
                <wp:extent cx="475488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48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111.4499pt" to="421.2pt,-111.4499pt" o:allowincell="f" strokecolor="#FFFFFF" strokeweight="0.72pt"/>
            </w:pict>
          </mc:Fallback>
        </mc:AlternateContent>
        <w:drawing>
          <wp:anchor simplePos="0" relativeHeight="251657728" behindDoc="1" locked="0" layoutInCell="0" allowOverlap="1">
            <wp:simplePos x="0" y="0"/>
            <wp:positionH relativeFrom="column">
              <wp:posOffset>594360</wp:posOffset>
            </wp:positionH>
            <wp:positionV relativeFrom="paragraph">
              <wp:posOffset>-1109345</wp:posOffset>
            </wp:positionV>
            <wp:extent cx="4754880" cy="610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9">
                      <a:extLst>
                        <a:ext uri="{28A0092B-C50C-407E-A947-70E740481C1C}"/>
                      </a:extLst>
                    </a:blip>
                    <a:srcRect/>
                    <a:stretch>
                      <a:fillRect/>
                    </a:stretch>
                  </pic:blipFill>
                  <pic:spPr bwMode="auto">
                    <a:xfrm>
                      <a:off x="0" y="0"/>
                      <a:ext cx="4754880" cy="61023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-356235</wp:posOffset>
            </wp:positionV>
            <wp:extent cx="4754880" cy="341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0">
                      <a:extLst>
                        <a:ext uri="{28A0092B-C50C-407E-A947-70E740481C1C}"/>
                      </a:extLst>
                    </a:blip>
                    <a:srcRect/>
                    <a:stretch>
                      <a:fillRect/>
                    </a:stretch>
                  </pic:blipFill>
                  <pic:spPr bwMode="auto">
                    <a:xfrm>
                      <a:off x="0" y="0"/>
                      <a:ext cx="475488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F-35</w:t>
      </w:r>
    </w:p>
    <w:p>
      <w:pPr>
        <w:sectPr>
          <w:pgSz w:w="12240" w:h="15840" w:orient="portrait"/>
          <w:cols w:equalWidth="0" w:num="1">
            <w:col w:w="9360"/>
          </w:cols>
          <w:pgMar w:left="1440" w:top="1418" w:right="1440" w:bottom="177" w:gutter="0" w:footer="0" w:header="0"/>
        </w:sectPr>
      </w:pPr>
    </w:p>
    <w:bookmarkStart w:id="143" w:name="page144"/>
    <w:bookmarkEnd w:id="143"/>
    <w:p>
      <w:pPr>
        <w:ind w:left="480"/>
        <w:spacing w:after="0"/>
        <w:rPr>
          <w:sz w:val="20"/>
          <w:szCs w:val="20"/>
          <w:color w:val="auto"/>
        </w:rPr>
      </w:pPr>
      <w:r>
        <w:rPr>
          <w:rFonts w:ascii="Times New Roman" w:cs="Times New Roman" w:eastAsia="Times New Roman" w:hAnsi="Times New Roman"/>
          <w:sz w:val="20"/>
          <w:szCs w:val="20"/>
          <w:color w:val="auto"/>
        </w:rPr>
        <w:t>Net deferred tax liabilities as of December 31, 2025 and 2024 consisted of the following:</w:t>
      </w: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202"/>
        </w:trPr>
        <w:tc>
          <w:tcPr>
            <w:tcW w:w="5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08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2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w w:val="99"/>
                <w:shd w:val="clear" w:color="auto" w:fill="E7E7E7"/>
              </w:rPr>
              <w:t>$</w:t>
            </w:r>
          </w:p>
        </w:tc>
        <w:tc>
          <w:tcPr>
            <w:tcW w:w="9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28,676</w:t>
            </w:r>
          </w:p>
        </w:tc>
        <w:tc>
          <w:tcPr>
            <w:tcW w:w="8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360" w:type="dxa"/>
            <w:vAlign w:val="bottom"/>
            <w:shd w:val="clear" w:color="auto" w:fill="E7E7E7"/>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7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17,423</w:t>
            </w: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Research and development and orphan drug tax credit</w:t>
            </w:r>
          </w:p>
        </w:tc>
        <w:tc>
          <w:tcPr>
            <w:tcW w:w="1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0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carryforwards</w:t>
            </w:r>
          </w:p>
        </w:tc>
        <w:tc>
          <w:tcPr>
            <w:tcW w:w="1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Capitalized research and development expenses</w:t>
            </w:r>
          </w:p>
        </w:tc>
        <w:tc>
          <w:tcPr>
            <w:tcW w:w="120" w:type="dxa"/>
            <w:vAlign w:val="bottom"/>
            <w:shd w:val="clear" w:color="auto" w:fill="E7E7E7"/>
          </w:tcPr>
          <w:p>
            <w:pPr>
              <w:spacing w:after="0"/>
              <w:rPr>
                <w:sz w:val="21"/>
                <w:szCs w:val="21"/>
                <w:color w:val="auto"/>
              </w:rPr>
            </w:pPr>
          </w:p>
        </w:tc>
        <w:tc>
          <w:tcPr>
            <w:tcW w:w="9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6,573</w:t>
            </w:r>
          </w:p>
        </w:tc>
        <w:tc>
          <w:tcPr>
            <w:tcW w:w="8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360" w:type="dxa"/>
            <w:vAlign w:val="bottom"/>
            <w:shd w:val="clear" w:color="auto" w:fill="E7E7E7"/>
          </w:tcPr>
          <w:p>
            <w:pPr>
              <w:spacing w:after="0"/>
              <w:rPr>
                <w:sz w:val="21"/>
                <w:szCs w:val="21"/>
                <w:color w:val="auto"/>
              </w:rPr>
            </w:pPr>
          </w:p>
        </w:tc>
        <w:tc>
          <w:tcPr>
            <w:tcW w:w="7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10,907</w:t>
            </w: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reserves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08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Stock compensation</w:t>
            </w:r>
          </w:p>
        </w:tc>
        <w:tc>
          <w:tcPr>
            <w:tcW w:w="120" w:type="dxa"/>
            <w:vAlign w:val="bottom"/>
            <w:tcBorders>
              <w:bottom w:val="single" w:sz="8" w:color="auto"/>
            </w:tcBorders>
            <w:shd w:val="clear" w:color="auto" w:fill="E7E7E7"/>
          </w:tcPr>
          <w:p>
            <w:pPr>
              <w:spacing w:after="0"/>
              <w:rPr>
                <w:sz w:val="21"/>
                <w:szCs w:val="21"/>
                <w:color w:val="auto"/>
              </w:rPr>
            </w:pPr>
          </w:p>
        </w:tc>
        <w:tc>
          <w:tcPr>
            <w:tcW w:w="94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8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360" w:type="dxa"/>
            <w:vAlign w:val="bottom"/>
            <w:tcBorders>
              <w:bottom w:val="single" w:sz="8" w:color="auto"/>
            </w:tcBorders>
            <w:shd w:val="clear" w:color="auto" w:fill="E7E7E7"/>
          </w:tcPr>
          <w:p>
            <w:pPr>
              <w:spacing w:after="0"/>
              <w:rPr>
                <w:sz w:val="21"/>
                <w:szCs w:val="21"/>
                <w:color w:val="auto"/>
              </w:rPr>
            </w:pPr>
          </w:p>
        </w:tc>
        <w:tc>
          <w:tcPr>
            <w:tcW w:w="7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20" w:type="dxa"/>
            <w:vAlign w:val="bottom"/>
            <w:tcBorders>
              <w:bottom w:val="single" w:sz="8" w:color="auto"/>
            </w:tcBorders>
            <w:shd w:val="clear" w:color="auto" w:fill="E7E7E7"/>
          </w:tcPr>
          <w:p>
            <w:pPr>
              <w:spacing w:after="0"/>
              <w:rPr>
                <w:sz w:val="21"/>
                <w:szCs w:val="21"/>
                <w:color w:val="auto"/>
              </w:rPr>
            </w:pPr>
          </w:p>
        </w:tc>
        <w:tc>
          <w:tcPr>
            <w:tcW w:w="94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(42,129</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20" w:type="dxa"/>
            <w:vAlign w:val="bottom"/>
            <w:shd w:val="clear" w:color="auto" w:fill="E7E7E7"/>
          </w:tcPr>
          <w:p>
            <w:pPr>
              <w:spacing w:after="0"/>
              <w:rPr>
                <w:sz w:val="21"/>
                <w:szCs w:val="21"/>
                <w:color w:val="auto"/>
              </w:rPr>
            </w:pPr>
          </w:p>
        </w:tc>
        <w:tc>
          <w:tcPr>
            <w:tcW w:w="360" w:type="dxa"/>
            <w:vAlign w:val="bottom"/>
            <w:tcBorders>
              <w:bottom w:val="single" w:sz="8" w:color="auto"/>
            </w:tcBorders>
            <w:shd w:val="clear" w:color="auto" w:fill="E7E7E7"/>
          </w:tcPr>
          <w:p>
            <w:pPr>
              <w:spacing w:after="0"/>
              <w:rPr>
                <w:sz w:val="21"/>
                <w:szCs w:val="21"/>
                <w:color w:val="auto"/>
              </w:rPr>
            </w:pPr>
          </w:p>
        </w:tc>
        <w:tc>
          <w:tcPr>
            <w:tcW w:w="7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(30,454</w:t>
            </w:r>
          </w:p>
        </w:tc>
        <w:tc>
          <w:tcPr>
            <w:tcW w:w="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0" w:type="dxa"/>
            <w:vAlign w:val="bottom"/>
          </w:tcPr>
          <w:p>
            <w:pPr>
              <w:spacing w:after="0"/>
              <w:rPr>
                <w:sz w:val="1"/>
                <w:szCs w:val="1"/>
                <w:color w:val="auto"/>
              </w:rPr>
            </w:pPr>
          </w:p>
        </w:tc>
      </w:tr>
      <w:tr>
        <w:trPr>
          <w:trHeight w:val="233"/>
        </w:trPr>
        <w:tc>
          <w:tcPr>
            <w:tcW w:w="5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deferred tax assets</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20" w:type="dxa"/>
            <w:vAlign w:val="bottom"/>
            <w:shd w:val="clear" w:color="auto" w:fill="E7E7E7"/>
          </w:tcPr>
          <w:p>
            <w:pPr>
              <w:spacing w:after="0"/>
              <w:rPr>
                <w:sz w:val="21"/>
                <w:szCs w:val="21"/>
                <w:color w:val="auto"/>
              </w:rPr>
            </w:pPr>
          </w:p>
        </w:tc>
        <w:tc>
          <w:tcPr>
            <w:tcW w:w="940" w:type="dxa"/>
            <w:vAlign w:val="bottom"/>
            <w:shd w:val="clear" w:color="auto" w:fill="E7E7E7"/>
          </w:tcPr>
          <w:p>
            <w:pPr>
              <w:spacing w:after="0"/>
              <w:rPr>
                <w:sz w:val="21"/>
                <w:szCs w:val="21"/>
                <w:color w:val="auto"/>
              </w:rPr>
            </w:pPr>
          </w:p>
        </w:tc>
        <w:tc>
          <w:tcPr>
            <w:tcW w:w="8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360" w:type="dxa"/>
            <w:vAlign w:val="bottom"/>
            <w:shd w:val="clear" w:color="auto" w:fill="E7E7E7"/>
          </w:tcPr>
          <w:p>
            <w:pPr>
              <w:spacing w:after="0"/>
              <w:rPr>
                <w:sz w:val="21"/>
                <w:szCs w:val="21"/>
                <w:color w:val="auto"/>
              </w:rPr>
            </w:pPr>
          </w:p>
        </w:tc>
        <w:tc>
          <w:tcPr>
            <w:tcW w:w="700" w:type="dxa"/>
            <w:vAlign w:val="bottom"/>
            <w:shd w:val="clear" w:color="auto" w:fill="E7E7E7"/>
          </w:tcPr>
          <w:p>
            <w:pPr>
              <w:spacing w:after="0"/>
              <w:rPr>
                <w:sz w:val="21"/>
                <w:szCs w:val="21"/>
                <w:color w:val="auto"/>
              </w:rPr>
            </w:pP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(3,287</w:t>
            </w: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2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(8,822</w:t>
            </w: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0" w:type="dxa"/>
            <w:vAlign w:val="bottom"/>
          </w:tcPr>
          <w:p>
            <w:pPr>
              <w:spacing w:after="0"/>
              <w:rPr>
                <w:sz w:val="1"/>
                <w:szCs w:val="1"/>
                <w:color w:val="auto"/>
              </w:rPr>
            </w:pPr>
          </w:p>
        </w:tc>
      </w:tr>
      <w:tr>
        <w:trPr>
          <w:trHeight w:val="244"/>
        </w:trPr>
        <w:tc>
          <w:tcPr>
            <w:tcW w:w="508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Right of use asset</w:t>
            </w:r>
          </w:p>
        </w:tc>
        <w:tc>
          <w:tcPr>
            <w:tcW w:w="120" w:type="dxa"/>
            <w:vAlign w:val="bottom"/>
            <w:tcBorders>
              <w:bottom w:val="single" w:sz="8" w:color="auto"/>
            </w:tcBorders>
            <w:shd w:val="clear" w:color="auto" w:fill="E7E7E7"/>
          </w:tcPr>
          <w:p>
            <w:pPr>
              <w:spacing w:after="0"/>
              <w:rPr>
                <w:sz w:val="20"/>
                <w:szCs w:val="20"/>
                <w:color w:val="auto"/>
              </w:rPr>
            </w:pPr>
            <w:r>
              <w:rPr>
                <w:rFonts w:ascii="Times New Roman" w:cs="Times New Roman" w:eastAsia="Times New Roman" w:hAnsi="Times New Roman"/>
                <w:sz w:val="20"/>
                <w:szCs w:val="20"/>
                <w:color w:val="auto"/>
                <w:w w:val="99"/>
                <w:shd w:val="clear" w:color="auto" w:fill="E7E7E7"/>
              </w:rPr>
              <w:t>$</w:t>
            </w:r>
          </w:p>
        </w:tc>
        <w:tc>
          <w:tcPr>
            <w:tcW w:w="94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1"/>
                <w:szCs w:val="21"/>
                <w:color w:val="auto"/>
              </w:rPr>
            </w:pPr>
          </w:p>
        </w:tc>
        <w:tc>
          <w:tcPr>
            <w:tcW w:w="120" w:type="dxa"/>
            <w:vAlign w:val="bottom"/>
            <w:shd w:val="clear" w:color="auto" w:fill="E7E7E7"/>
          </w:tcPr>
          <w:p>
            <w:pPr>
              <w:spacing w:after="0"/>
              <w:rPr>
                <w:sz w:val="21"/>
                <w:szCs w:val="21"/>
                <w:color w:val="auto"/>
              </w:rPr>
            </w:pPr>
          </w:p>
        </w:tc>
        <w:tc>
          <w:tcPr>
            <w:tcW w:w="360" w:type="dxa"/>
            <w:vAlign w:val="bottom"/>
            <w:tcBorders>
              <w:bottom w:val="single" w:sz="8" w:color="auto"/>
            </w:tcBorders>
            <w:shd w:val="clear" w:color="auto" w:fill="E7E7E7"/>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70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7E7E7"/>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(3,287</w:t>
            </w:r>
          </w:p>
        </w:tc>
        <w:tc>
          <w:tcPr>
            <w:tcW w:w="80" w:type="dxa"/>
            <w:vAlign w:val="bottom"/>
            <w:tcBorders>
              <w:bottom w:val="single" w:sz="8" w:color="E7E7E7"/>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Borders>
              <w:bottom w:val="single" w:sz="8" w:color="E7E7E7"/>
            </w:tcBorders>
          </w:tcPr>
          <w:p>
            <w:pPr>
              <w:spacing w:after="0"/>
              <w:rPr>
                <w:sz w:val="20"/>
                <w:szCs w:val="20"/>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(8,822</w:t>
            </w:r>
          </w:p>
        </w:tc>
        <w:tc>
          <w:tcPr>
            <w:tcW w:w="80" w:type="dxa"/>
            <w:vAlign w:val="bottom"/>
            <w:tcBorders>
              <w:bottom w:val="single" w:sz="8" w:color="E7E7E7"/>
            </w:tcBorders>
          </w:tcPr>
          <w:p>
            <w:pPr>
              <w:spacing w:after="0"/>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34"/>
        </w:trPr>
        <w:tc>
          <w:tcPr>
            <w:tcW w:w="50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rPr>
              <w:t>Net deferred tax liability</w:t>
            </w:r>
          </w:p>
        </w:tc>
        <w:tc>
          <w:tcPr>
            <w:tcW w:w="12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w w:val="99"/>
                <w:shd w:val="clear" w:color="auto" w:fill="E7E7E7"/>
              </w:rPr>
              <w:t>$</w:t>
            </w:r>
          </w:p>
        </w:tc>
        <w:tc>
          <w:tcPr>
            <w:tcW w:w="94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20" w:type="dxa"/>
            <w:vAlign w:val="bottom"/>
            <w:shd w:val="clear" w:color="auto" w:fill="E7E7E7"/>
          </w:tcPr>
          <w:p>
            <w:pPr>
              <w:spacing w:after="0"/>
              <w:rPr>
                <w:sz w:val="20"/>
                <w:szCs w:val="20"/>
                <w:color w:val="auto"/>
              </w:rPr>
            </w:pPr>
          </w:p>
        </w:tc>
        <w:tc>
          <w:tcPr>
            <w:tcW w:w="360" w:type="dxa"/>
            <w:vAlign w:val="bottom"/>
            <w:shd w:val="clear" w:color="auto" w:fill="E7E7E7"/>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7E7E7"/>
              </w:rPr>
              <w:t>$</w:t>
            </w:r>
          </w:p>
        </w:tc>
        <w:tc>
          <w:tcPr>
            <w:tcW w:w="70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(1,772</w:t>
            </w:r>
          </w:p>
        </w:tc>
        <w:tc>
          <w:tcPr>
            <w:tcW w:w="80" w:type="dxa"/>
            <w:vAlign w:val="bottom"/>
            <w:shd w:val="clear" w:color="auto" w:fill="E7E7E7"/>
          </w:tcPr>
          <w:p>
            <w:pPr>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594360</wp:posOffset>
                </wp:positionH>
                <wp:positionV relativeFrom="paragraph">
                  <wp:posOffset>-627380</wp:posOffset>
                </wp:positionV>
                <wp:extent cx="475488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48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49.3999pt" to="421.2pt,-49.3999pt" o:allowincell="f" strokecolor="#FFFFFF" strokeweight="0.72pt"/>
            </w:pict>
          </mc:Fallback>
        </mc:AlternateContent>
      </w:r>
    </w:p>
    <w:p>
      <w:pPr>
        <w:spacing w:after="0" w:line="7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20"/>
          <w:szCs w:val="20"/>
          <w:color w:val="auto"/>
        </w:rPr>
        <w:t>The Company owns Lung Therapeutics, LLC, Lung Therapeutics Australia Pty Ltd, and Lung Therapeutics Limited. There is no material foreign activity during the year ended December 31, 2025. There are no foreign tax attributes for the Company as of December 31, 2024 or December 31, 2025, respectively. As such, certain items have not been separately disaggregated in the income tax disclosures, as it was determined that such disaggregation would not be material, consistent with the materiality guidance in ASC 105-10-05-6.</w:t>
      </w:r>
    </w:p>
    <w:p>
      <w:pPr>
        <w:spacing w:after="0" w:line="73"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As of December 31, 2025, the Company had net operating loss carryforwards for federal and state purposes of $122,682 and $46,077, respectively. $2,863 of the U.S. federal tax operating loss carryforwards will begin to expire in 2036. Approximately $119,820 of the U.S. federal tax operating losses can be carried forward indefinitely. Of this amount, $44,420 of federal net operating losses came over from the Lung Acquisition, of which $2,863 will begin to expire in 2036 and the remaining $41,557 can be carried forward indefinitely. The state tax operating loss carryforwards expire beginning in 2043. As of December 31, 2025, the Company also had available research and development tax credit carryforwards for federal income tax purposes of $2,528, which begin to expire in 2035. As of December 31, 2025, the Company also had available orphan drug credit carryforwards of $5,800 for federal income tax purposes, which begin to expire in 2039. Of this amount, $2,222 of research and development credit carryforwards and $5,644 of orphan drug credit carryforwards came over from the Lung Acquisition.</w:t>
      </w:r>
    </w:p>
    <w:p>
      <w:pPr>
        <w:spacing w:after="0" w:line="81"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The OBBBA amends U.S. tax law including provisions related to domestic research and development expenses and bonus depreciation, among others. Under the OBBBA provisions, effective with tax years beginning on or after January 1, 2025, taxpayers can now immediately expense domestic research and development expenditures as well as accelerate previously capitalized domestic research and development expenditures from 2022-2024. Taxpayers are still required to capitalize and amortize research and development expenditures over 15 years for research conducted abroad. As a result, the Company expensed net $25,277 of research and development expenses for the year ended December 31, 2025 for tax purposes.</w:t>
      </w:r>
    </w:p>
    <w:p>
      <w:pPr>
        <w:spacing w:after="0" w:line="81"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color w:val="auto"/>
        </w:rPr>
        <w:t>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December 31, 2023, the Company has wound down its original business operations and entered into a merger in the year, which resulted in a significant shift in ownership. The Company expects to have all prior year net operating losses and tax credits of its legacy business to be completely limited going forward due to the lack of continuation in its legacy business. As such, all prior year net operating losses and tax credits have been written down to zero as of December 31, 2023 through December 31, 2025, respectively. The remaining net operating losses and tax credits as of December 31, 2025 relate to post-merger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F-36</w:t>
      </w:r>
    </w:p>
    <w:p>
      <w:pPr>
        <w:sectPr>
          <w:pgSz w:w="12240" w:h="15840" w:orient="portrait"/>
          <w:cols w:equalWidth="0" w:num="1">
            <w:col w:w="9360"/>
          </w:cols>
          <w:pgMar w:left="1440" w:top="1418" w:right="1440" w:bottom="177" w:gutter="0" w:footer="0" w:header="0"/>
        </w:sectPr>
      </w:pPr>
    </w:p>
    <w:bookmarkStart w:id="144" w:name="page145"/>
    <w:bookmarkEnd w:id="144"/>
    <w:p>
      <w:pPr>
        <w:jc w:val="both"/>
        <w:spacing w:after="0" w:line="247" w:lineRule="auto"/>
        <w:rPr>
          <w:sz w:val="20"/>
          <w:szCs w:val="20"/>
          <w:color w:val="auto"/>
        </w:rPr>
      </w:pPr>
      <w:r>
        <w:rPr>
          <w:rFonts w:ascii="Times New Roman" w:cs="Times New Roman" w:eastAsia="Times New Roman" w:hAnsi="Times New Roman"/>
          <w:sz w:val="20"/>
          <w:szCs w:val="20"/>
          <w:color w:val="auto"/>
        </w:rPr>
        <w:t>activity, as well as acquired attributes as part of the merger. A study has been completed on the Target ownership shifts through December 31, 2023, and multiple ownership changes were determined. As a result, the Company has written down the $1,673 portion of the Target net operating losses expected to expire unutilized and include the $44,420 of remaining net operating losses and $7,638 of federal tax credits as part of its available attributes. As of December 31, 2025, the total federal net operating losses are $122,726 and federal research and development tax credits are $8,328, which could be subject to future limitations under these rules.</w:t>
      </w:r>
    </w:p>
    <w:p>
      <w:pPr>
        <w:spacing w:after="0" w:line="80"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auto"/>
        </w:rPr>
        <w:t>The Company has evaluated the positive and negative evidence bearing upon its ability to realize the deferred tax assets. Management has considered the Company’s cumulative net losses and its lack of commercialization of any products or generation of any revenue from product sales since inception and has concluded that it is more likely than not that the Company will not realize the benefits of the deferred tax assets. The Company maintained a full valuation allowance on its net deferred tax assets as of December 31, 2025. Management reevaluates the positive and negative evidence at each reporting period. The increase in the valuation allowance for deferred tax assets during the years ended December 31, 2025 and December 31, 2024 of $11,675 and $11,948, respectively, related primarily to an increase in net operating loss carryforwards. Changes in the valuation allowance were as follows: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7"/>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8"/>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Valuation allowance at beginning of year</w:t>
            </w: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6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(30,454</w:t>
            </w: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5"/>
        </w:trPr>
        <w:tc>
          <w:tcPr>
            <w:tcW w:w="5740" w:type="dxa"/>
            <w:vAlign w:val="bottom"/>
            <w:shd w:val="clear" w:color="auto" w:fill="E7E7E7"/>
          </w:tcPr>
          <w:p>
            <w:pPr>
              <w:ind w:left="200"/>
              <w:spacing w:after="0"/>
              <w:rPr>
                <w:sz w:val="20"/>
                <w:szCs w:val="20"/>
                <w:color w:val="auto"/>
              </w:rPr>
            </w:pPr>
            <w:r>
              <w:rPr>
                <w:rFonts w:ascii="Times New Roman" w:cs="Times New Roman" w:eastAsia="Times New Roman" w:hAnsi="Times New Roman"/>
                <w:sz w:val="20"/>
                <w:szCs w:val="20"/>
                <w:color w:val="auto"/>
              </w:rPr>
              <w:t>Decreases recorded as a benefit to income tax provision</w:t>
            </w: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106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(11,675</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7E7E7"/>
              </w:rPr>
              <w:t>)</w:t>
            </w:r>
          </w:p>
        </w:tc>
        <w:tc>
          <w:tcPr>
            <w:tcW w:w="120" w:type="dxa"/>
            <w:vAlign w:val="bottom"/>
            <w:shd w:val="clear" w:color="auto" w:fill="E7E7E7"/>
          </w:tcPr>
          <w:p>
            <w:pPr>
              <w:spacing w:after="0"/>
              <w:rPr>
                <w:sz w:val="21"/>
                <w:szCs w:val="21"/>
                <w:color w:val="auto"/>
              </w:rPr>
            </w:pPr>
          </w:p>
        </w:tc>
        <w:tc>
          <w:tcPr>
            <w:tcW w:w="20" w:type="dxa"/>
            <w:vAlign w:val="bottom"/>
            <w:shd w:val="clear" w:color="auto" w:fill="E7E7E7"/>
          </w:tcPr>
          <w:p>
            <w:pPr>
              <w:spacing w:after="0"/>
              <w:rPr>
                <w:sz w:val="21"/>
                <w:szCs w:val="21"/>
                <w:color w:val="auto"/>
              </w:rPr>
            </w:pPr>
          </w:p>
        </w:tc>
        <w:tc>
          <w:tcPr>
            <w:tcW w:w="120" w:type="dxa"/>
            <w:vAlign w:val="bottom"/>
            <w:tcBorders>
              <w:bottom w:val="single" w:sz="8" w:color="auto"/>
            </w:tcBorders>
            <w:shd w:val="clear" w:color="auto" w:fill="E7E7E7"/>
          </w:tcPr>
          <w:p>
            <w:pPr>
              <w:spacing w:after="0"/>
              <w:rPr>
                <w:sz w:val="21"/>
                <w:szCs w:val="21"/>
                <w:color w:val="auto"/>
              </w:rPr>
            </w:pPr>
          </w:p>
        </w:tc>
        <w:tc>
          <w:tcPr>
            <w:tcW w:w="10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(11,948</w:t>
            </w:r>
          </w:p>
        </w:tc>
        <w:tc>
          <w:tcPr>
            <w:tcW w:w="80" w:type="dxa"/>
            <w:vAlign w:val="bottom"/>
            <w:shd w:val="clear" w:color="auto" w:fill="E7E7E7"/>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7"/>
              </w:rPr>
              <w:t>)</w:t>
            </w:r>
          </w:p>
        </w:tc>
        <w:tc>
          <w:tcPr>
            <w:tcW w:w="0" w:type="dxa"/>
            <w:vAlign w:val="bottom"/>
          </w:tcPr>
          <w:p>
            <w:pPr>
              <w:spacing w:after="0"/>
              <w:rPr>
                <w:sz w:val="1"/>
                <w:szCs w:val="1"/>
                <w:color w:val="auto"/>
              </w:rPr>
            </w:pPr>
          </w:p>
        </w:tc>
      </w:tr>
      <w:tr>
        <w:trPr>
          <w:trHeight w:val="236"/>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 at end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(42,129</w:t>
            </w: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(30,454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not recorded any amounts for unrecognized tax benefits as of December 31, 2025 or 2024.</w:t>
      </w:r>
    </w:p>
    <w:p>
      <w:pPr>
        <w:spacing w:after="0" w:line="119"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auto"/>
        </w:rPr>
        <w:t>The Company files tax returns as prescribed by the tax laws of the jurisdictions in which it operates. The major jurisdictions of the Company are federal and Massachusetts. In the normal course of business, the Company is subject to examination by federal and state jurisdictions, where applicable. There are currently no pending tax examinations. The Company’s tax years are still open under statute from 2021 to the present. Earlier years may be examined to the extent that tax credit or net operating loss carryforwards are used in future periods. The Company’s policy is to record interest and penalties related to income taxes as part of its income tax provision. As of December 31, 2025 and 2024, the Company had no accrued interest or penalties related to uncertain tax positions and no amounts have been recognized in the Company’s consolidated statements of operations and comprehensive loss. There are no foreign jurisdictions that the Company operates in as of December 31, 2024 or December 31, 2025,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Subsequent Events</w:t>
      </w:r>
    </w:p>
    <w:p>
      <w:pPr>
        <w:spacing w:after="0" w:line="12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At the Market Offering</w:t>
      </w:r>
    </w:p>
    <w:p>
      <w:pPr>
        <w:spacing w:after="0" w:line="11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Subsequent to the consolidated balance sheet date, the Company continued its “at the market” offering program under the Wainwright Sales Agreement (described in Notes 1 and 8). Through March 26, 2026, the Company issued and sold 296,810 shares of common stock pursuant to the “at the market” offering program for total net proceeds of $354, after deducting transaction fees of $16 paid by the Company.</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2026 Bridge Loans</w:t>
      </w:r>
    </w:p>
    <w:p>
      <w:pPr>
        <w:spacing w:after="0" w:line="11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In January 2026 and February 2026, the Company entered into separate securities purchase agreements, or the Purchase Agreements, with three institutional investors pursuant to which we issued and sold to the investors, in a private placement, unsecured promissory notes in the aggregate original principal amount of $5,375, or the Notes. Pursuant to the Purchase Agreements, the Company issued and sold the Notes to the investors for the aggregate purchase price of $4,300, inclusive of an original issue discount of 20%.</w:t>
      </w:r>
    </w:p>
    <w:p>
      <w:pPr>
        <w:spacing w:after="0" w:line="77"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The Notes have a stated maturity date of the earlier of (i) the date of the closing of the next issuance and sale of the Company’s securities, in a single transaction or series of related transactions, to investors resulting in gross proceeds to the Company of at least $10,000 (exclusive of the Notes proceeds) or (ii) June 30, 2026. The Company’s obligations under the Notes are unsecured. There is no interest payable under the promissory notes other than the 20%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F-37</w:t>
      </w:r>
    </w:p>
    <w:p>
      <w:pPr>
        <w:sectPr>
          <w:pgSz w:w="12240" w:h="15840" w:orient="portrait"/>
          <w:cols w:equalWidth="0" w:num="1">
            <w:col w:w="9360"/>
          </w:cols>
          <w:pgMar w:left="1440" w:top="1418" w:right="1440" w:bottom="177" w:gutter="0" w:footer="0" w:header="0"/>
        </w:sectPr>
      </w:pPr>
    </w:p>
    <w:bookmarkStart w:id="145" w:name="page146"/>
    <w:bookmarkEnd w:id="145"/>
    <w:p>
      <w:pPr>
        <w:spacing w:after="0" w:line="279" w:lineRule="auto"/>
        <w:rPr>
          <w:sz w:val="20"/>
          <w:szCs w:val="20"/>
          <w:color w:val="auto"/>
        </w:rPr>
      </w:pPr>
      <w:r>
        <w:rPr>
          <w:rFonts w:ascii="Times New Roman" w:cs="Times New Roman" w:eastAsia="Times New Roman" w:hAnsi="Times New Roman"/>
          <w:sz w:val="20"/>
          <w:szCs w:val="20"/>
          <w:color w:val="auto"/>
        </w:rPr>
        <w:t>original issue discount. The Purchase Agreements contained representations, warranties, covenants and other terms customary for agreements of such nature.</w:t>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Issuance of Common Stock</w:t>
      </w:r>
    </w:p>
    <w:p>
      <w:pPr>
        <w:spacing w:after="0" w:line="118" w:lineRule="exact"/>
        <w:rPr>
          <w:sz w:val="20"/>
          <w:szCs w:val="20"/>
          <w:color w:val="auto"/>
        </w:rPr>
      </w:pPr>
    </w:p>
    <w:p>
      <w:pPr>
        <w:ind w:firstLine="490"/>
        <w:spacing w:after="0" w:line="280" w:lineRule="auto"/>
        <w:rPr>
          <w:sz w:val="20"/>
          <w:szCs w:val="20"/>
          <w:color w:val="auto"/>
        </w:rPr>
      </w:pPr>
      <w:r>
        <w:rPr>
          <w:rFonts w:ascii="Times New Roman" w:cs="Times New Roman" w:eastAsia="Times New Roman" w:hAnsi="Times New Roman"/>
          <w:sz w:val="20"/>
          <w:szCs w:val="20"/>
          <w:color w:val="auto"/>
        </w:rPr>
        <w:t>In January 2026 and March 2026, the Company issued 192,000 shares of common stock for the restricted stock units granted and vested in August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F-38</w:t>
      </w:r>
    </w:p>
    <w:p>
      <w:pPr>
        <w:sectPr>
          <w:pgSz w:w="12240" w:h="15840" w:orient="portrait"/>
          <w:cols w:equalWidth="0" w:num="1">
            <w:col w:w="9360"/>
          </w:cols>
          <w:pgMar w:left="1440" w:top="1418" w:right="1440" w:bottom="177" w:gutter="0" w:footer="0" w:header="0"/>
        </w:sectPr>
      </w:pPr>
    </w:p>
    <w:bookmarkStart w:id="146" w:name="page147"/>
    <w:bookmarkEnd w:id="146"/>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47" w:name="page148"/>
    <w:bookmarkEnd w:id="147"/>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
      <w:numFmt w:val="bullet"/>
      <w:start w:val="1"/>
    </w:lvl>
  </w:abstractNum>
  <w:abstractNum w:abstractNumId="3">
    <w:nsid w:val="440BADFC"/>
    <w:multiLevelType w:val="hybridMultilevel"/>
    <w:lvl w:ilvl="0">
      <w:lvlJc w:val="left"/>
      <w:lvlText w:val=" "/>
      <w:numFmt w:val="bullet"/>
      <w:start w:val="1"/>
    </w:lvl>
  </w:abstractNum>
  <w:abstractNum w:abstractNumId="4">
    <w:nsid w:val="5072367"/>
    <w:multiLevelType w:val="hybridMultilevel"/>
    <w:lvl w:ilvl="0">
      <w:lvlJc w:val="left"/>
      <w:lvlText w:val=" "/>
      <w:numFmt w:val="bullet"/>
      <w:start w:val="1"/>
    </w:lvl>
  </w:abstractNum>
  <w:abstractNum w:abstractNumId="5">
    <w:nsid w:val="3804823E"/>
    <w:multiLevelType w:val="hybridMultilevel"/>
    <w:lvl w:ilvl="0">
      <w:lvlJc w:val="left"/>
      <w:lvlText w:val=" "/>
      <w:numFmt w:val="bullet"/>
      <w:start w:val="1"/>
    </w:lvl>
  </w:abstractNum>
  <w:abstractNum w:abstractNumId="6">
    <w:nsid w:val="77465F01"/>
    <w:multiLevelType w:val="hybridMultilevel"/>
    <w:lvl w:ilvl="0">
      <w:lvlJc w:val="left"/>
      <w:lvlText w:val=" "/>
      <w:numFmt w:val="bullet"/>
      <w:start w:val="1"/>
    </w:lvl>
  </w:abstractNum>
  <w:abstractNum w:abstractNumId="7">
    <w:nsid w:val="7724C67E"/>
    <w:multiLevelType w:val="hybridMultilevel"/>
    <w:lvl w:ilvl="0">
      <w:lvlJc w:val="left"/>
      <w:lvlText w:val=" "/>
      <w:numFmt w:val="bullet"/>
      <w:start w:val="1"/>
    </w:lvl>
  </w:abstractNum>
  <w:abstractNum w:abstractNumId="8">
    <w:nsid w:val="5C482A97"/>
    <w:multiLevelType w:val="hybridMultilevel"/>
    <w:lvl w:ilvl="0">
      <w:lvlJc w:val="left"/>
      <w:lvlText w:val=" "/>
      <w:numFmt w:val="bullet"/>
      <w:start w:val="1"/>
    </w:lvl>
  </w:abstractNum>
  <w:abstractNum w:abstractNumId="9">
    <w:nsid w:val="2463B9EA"/>
    <w:multiLevelType w:val="hybridMultilevel"/>
    <w:lvl w:ilvl="0">
      <w:lvlJc w:val="left"/>
      <w:lvlText w:val=" "/>
      <w:numFmt w:val="bullet"/>
      <w:start w:val="1"/>
    </w:lvl>
  </w:abstractNum>
  <w:abstractNum w:abstractNumId="10">
    <w:nsid w:val="5E884ADC"/>
    <w:multiLevelType w:val="hybridMultilevel"/>
    <w:lvl w:ilvl="0">
      <w:lvlJc w:val="left"/>
      <w:lvlText w:val=" "/>
      <w:numFmt w:val="bullet"/>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 "/>
      <w:numFmt w:val="bullet"/>
      <w:start w:val="1"/>
    </w:lvl>
  </w:abstractNum>
  <w:abstractNum w:abstractNumId="13">
    <w:nsid w:val="580BD78F"/>
    <w:multiLevelType w:val="hybridMultilevel"/>
    <w:lvl w:ilvl="0">
      <w:lvlJc w:val="left"/>
      <w:lvlText w:val="(%1)"/>
      <w:numFmt w:val="lowerRoman"/>
      <w:start w:val="2"/>
    </w:lvl>
  </w:abstractNum>
  <w:abstractNum w:abstractNumId="14">
    <w:nsid w:val="153EA438"/>
    <w:multiLevelType w:val="hybridMultilevel"/>
    <w:lvl w:ilvl="0">
      <w:lvlJc w:val="left"/>
      <w:lvlText w:val=" "/>
      <w:numFmt w:val="bullet"/>
      <w:start w:val="1"/>
    </w:lvl>
  </w:abstractNum>
  <w:abstractNum w:abstractNumId="15">
    <w:nsid w:val="3855585C"/>
    <w:multiLevelType w:val="hybridMultilevel"/>
    <w:lvl w:ilvl="0">
      <w:lvlJc w:val="left"/>
      <w:lvlText w:val=" "/>
      <w:numFmt w:val="bullet"/>
      <w:start w:val="1"/>
    </w:lvl>
  </w:abstractNum>
  <w:abstractNum w:abstractNumId="16">
    <w:nsid w:val="70A64E2A"/>
    <w:multiLevelType w:val="hybridMultilevel"/>
    <w:lvl w:ilvl="0">
      <w:lvlJc w:val="left"/>
      <w:lvlText w:val=" "/>
      <w:numFmt w:val="bullet"/>
      <w:start w:val="1"/>
    </w:lvl>
  </w:abstractNum>
  <w:abstractNum w:abstractNumId="17">
    <w:nsid w:val="6A2342EC"/>
    <w:multiLevelType w:val="hybridMultilevel"/>
    <w:lvl w:ilvl="0">
      <w:lvlJc w:val="left"/>
      <w:lvlText w:val=" "/>
      <w:numFmt w:val="bullet"/>
      <w:start w:val="1"/>
    </w:lvl>
  </w:abstractNum>
  <w:abstractNum w:abstractNumId="18">
    <w:nsid w:val="2A487CB0"/>
    <w:multiLevelType w:val="hybridMultilevel"/>
    <w:lvl w:ilvl="0">
      <w:lvlJc w:val="left"/>
      <w:lvlText w:val=" "/>
      <w:numFmt w:val="bullet"/>
      <w:start w:val="1"/>
    </w:lvl>
  </w:abstractNum>
  <w:abstractNum w:abstractNumId="19">
    <w:nsid w:val="1D4ED43B"/>
    <w:multiLevelType w:val="hybridMultilevel"/>
    <w:lvl w:ilvl="0">
      <w:lvlJc w:val="left"/>
      <w:lvlText w:val=" "/>
      <w:numFmt w:val="bullet"/>
      <w:start w:val="1"/>
    </w:lvl>
  </w:abstractNum>
  <w:abstractNum w:abstractNumId="20">
    <w:nsid w:val="725A06FB"/>
    <w:multiLevelType w:val="hybridMultilevel"/>
    <w:lvl w:ilvl="0">
      <w:lvlJc w:val="left"/>
      <w:lvlText w:val=" "/>
      <w:numFmt w:val="bullet"/>
      <w:start w:val="1"/>
    </w:lvl>
  </w:abstractNum>
  <w:abstractNum w:abstractNumId="21">
    <w:nsid w:val="2CD89A32"/>
    <w:multiLevelType w:val="hybridMultilevel"/>
    <w:lvl w:ilvl="0">
      <w:lvlJc w:val="left"/>
      <w:lvlText w:val=" "/>
      <w:numFmt w:val="bullet"/>
      <w:start w:val="1"/>
    </w:lvl>
  </w:abstractNum>
  <w:abstractNum w:abstractNumId="22">
    <w:nsid w:val="57E4CCAF"/>
    <w:multiLevelType w:val="hybridMultilevel"/>
    <w:lvl w:ilvl="0">
      <w:lvlJc w:val="left"/>
      <w:lvlText w:val=" "/>
      <w:numFmt w:val="bullet"/>
      <w:start w:val="1"/>
    </w:lvl>
  </w:abstractNum>
  <w:abstractNum w:abstractNumId="23">
    <w:nsid w:val="7A6D8D3C"/>
    <w:multiLevelType w:val="hybridMultilevel"/>
    <w:lvl w:ilvl="0">
      <w:lvlJc w:val="left"/>
      <w:lvlText w:val=" "/>
      <w:numFmt w:val="bullet"/>
      <w:start w:val="1"/>
    </w:lvl>
  </w:abstractNum>
  <w:abstractNum w:abstractNumId="24">
    <w:nsid w:val="4B588F54"/>
    <w:multiLevelType w:val="hybridMultilevel"/>
    <w:lvl w:ilvl="0">
      <w:lvlJc w:val="left"/>
      <w:lvlText w:val=" "/>
      <w:numFmt w:val="bullet"/>
      <w:start w:val="1"/>
    </w:lvl>
  </w:abstractNum>
  <w:abstractNum w:abstractNumId="25">
    <w:nsid w:val="542289EC"/>
    <w:multiLevelType w:val="hybridMultilevel"/>
    <w:lvl w:ilvl="0">
      <w:lvlJc w:val="left"/>
      <w:lvlText w:val="%1."/>
      <w:numFmt w:val="decimal"/>
      <w:start w:val="3"/>
    </w:lvl>
  </w:abstractNum>
  <w:abstractNum w:abstractNumId="26">
    <w:nsid w:val="6DE91B18"/>
    <w:multiLevelType w:val="hybridMultilevel"/>
    <w:lvl w:ilvl="0">
      <w:lvlJc w:val="left"/>
      <w:lvlText w:val=" "/>
      <w:numFmt w:val="bullet"/>
      <w:start w:val="1"/>
    </w:lvl>
  </w:abstractNum>
  <w:abstractNum w:abstractNumId="27">
    <w:nsid w:val="38437FDB"/>
    <w:multiLevelType w:val="hybridMultilevel"/>
    <w:lvl w:ilvl="0">
      <w:lvlJc w:val="left"/>
      <w:lvlText w:val=" "/>
      <w:numFmt w:val="bullet"/>
      <w:start w:val="1"/>
    </w:lvl>
  </w:abstractNum>
  <w:abstractNum w:abstractNumId="28">
    <w:nsid w:val="7644A45C"/>
    <w:multiLevelType w:val="hybridMultilevel"/>
    <w:lvl w:ilvl="0">
      <w:lvlJc w:val="left"/>
      <w:lvlText w:val=" "/>
      <w:numFmt w:val="bullet"/>
      <w:start w:val="1"/>
    </w:lvl>
  </w:abstractNum>
  <w:abstractNum w:abstractNumId="29">
    <w:nsid w:val="32FFF902"/>
    <w:multiLevelType w:val="hybridMultilevel"/>
    <w:lvl w:ilvl="0">
      <w:lvlJc w:val="left"/>
      <w:lvlText w:val=" "/>
      <w:numFmt w:val="bullet"/>
      <w:start w:val="1"/>
    </w:lvl>
  </w:abstractNum>
  <w:abstractNum w:abstractNumId="30">
    <w:nsid w:val="684A481A"/>
    <w:multiLevelType w:val="hybridMultilevel"/>
    <w:lvl w:ilvl="0">
      <w:lvlJc w:val="left"/>
      <w:lvlText w:val=" "/>
      <w:numFmt w:val="bullet"/>
      <w:start w:val="1"/>
    </w:lvl>
  </w:abstractNum>
  <w:abstractNum w:abstractNumId="31">
    <w:nsid w:val="579478FE"/>
    <w:multiLevelType w:val="hybridMultilevel"/>
    <w:lvl w:ilvl="0">
      <w:lvlJc w:val="left"/>
      <w:lvlText w:val=" "/>
      <w:numFmt w:val="bullet"/>
      <w:start w:val="1"/>
    </w:lvl>
  </w:abstractNum>
  <w:abstractNum w:abstractNumId="32">
    <w:nsid w:val="749ABB43"/>
    <w:multiLevelType w:val="hybridMultilevel"/>
    <w:lvl w:ilvl="0">
      <w:lvlJc w:val="left"/>
      <w:lvlText w:val=" "/>
      <w:numFmt w:val="bullet"/>
      <w:start w:val="1"/>
    </w:lvl>
  </w:abstractNum>
  <w:abstractNum w:abstractNumId="33">
    <w:nsid w:val="3DC240FB"/>
    <w:multiLevelType w:val="hybridMultilevel"/>
    <w:lvl w:ilvl="0">
      <w:lvlJc w:val="left"/>
      <w:lvlText w:val=" "/>
      <w:numFmt w:val="bullet"/>
      <w:start w:val="1"/>
    </w:lvl>
  </w:abstractNum>
  <w:abstractNum w:abstractNumId="34">
    <w:nsid w:val="1BA026FA"/>
    <w:multiLevelType w:val="hybridMultilevel"/>
    <w:lvl w:ilvl="0">
      <w:lvlJc w:val="left"/>
      <w:lvlText w:val=" "/>
      <w:numFmt w:val="bullet"/>
      <w:start w:val="1"/>
    </w:lvl>
  </w:abstractNum>
  <w:abstractNum w:abstractNumId="35">
    <w:nsid w:val="79A1DEAA"/>
    <w:multiLevelType w:val="hybridMultilevel"/>
    <w:lvl w:ilvl="0">
      <w:lvlJc w:val="left"/>
      <w:lvlText w:val=" "/>
      <w:numFmt w:val="bullet"/>
      <w:start w:val="1"/>
    </w:lvl>
  </w:abstractNum>
  <w:abstractNum w:abstractNumId="36">
    <w:nsid w:val="75C6C33A"/>
    <w:multiLevelType w:val="hybridMultilevel"/>
    <w:lvl w:ilvl="0">
      <w:lvlJc w:val="left"/>
      <w:lvlText w:val=" "/>
      <w:numFmt w:val="bullet"/>
      <w:start w:val="1"/>
    </w:lvl>
  </w:abstractNum>
  <w:abstractNum w:abstractNumId="37">
    <w:nsid w:val="12E685FB"/>
    <w:multiLevelType w:val="hybridMultilevel"/>
    <w:lvl w:ilvl="0">
      <w:lvlJc w:val="left"/>
      <w:lvlText w:val=" "/>
      <w:numFmt w:val="bullet"/>
      <w:start w:val="1"/>
    </w:lvl>
  </w:abstractNum>
  <w:abstractNum w:abstractNumId="38">
    <w:nsid w:val="70C6A529"/>
    <w:multiLevelType w:val="hybridMultilevel"/>
    <w:lvl w:ilvl="0">
      <w:lvlJc w:val="left"/>
      <w:lvlText w:val=" "/>
      <w:numFmt w:val="bullet"/>
      <w:start w:val="1"/>
    </w:lvl>
  </w:abstractNum>
  <w:abstractNum w:abstractNumId="39">
    <w:nsid w:val="520EEDD1"/>
    <w:multiLevelType w:val="hybridMultilevel"/>
    <w:lvl w:ilvl="0">
      <w:lvlJc w:val="left"/>
      <w:lvlText w:val=" "/>
      <w:numFmt w:val="bullet"/>
      <w:start w:val="1"/>
    </w:lvl>
  </w:abstractNum>
  <w:abstractNum w:abstractNumId="40">
    <w:nsid w:val="374A3FE6"/>
    <w:multiLevelType w:val="hybridMultilevel"/>
    <w:lvl w:ilvl="0">
      <w:lvlJc w:val="left"/>
      <w:lvlText w:val=" "/>
      <w:numFmt w:val="bullet"/>
      <w:start w:val="1"/>
    </w:lvl>
  </w:abstractNum>
  <w:abstractNum w:abstractNumId="41">
    <w:nsid w:val="4F4EF005"/>
    <w:multiLevelType w:val="hybridMultilevel"/>
    <w:lvl w:ilvl="0">
      <w:lvlJc w:val="left"/>
      <w:lvlText w:val=" "/>
      <w:numFmt w:val="bullet"/>
      <w:start w:val="1"/>
    </w:lvl>
  </w:abstractNum>
  <w:abstractNum w:abstractNumId="42">
    <w:nsid w:val="23F9C13C"/>
    <w:multiLevelType w:val="hybridMultilevel"/>
    <w:lvl w:ilvl="0">
      <w:lvlJc w:val="left"/>
      <w:lvlText w:val=" "/>
      <w:numFmt w:val="bullet"/>
      <w:start w:val="1"/>
    </w:lvl>
  </w:abstractNum>
  <w:abstractNum w:abstractNumId="43">
    <w:nsid w:val="649BB77C"/>
    <w:multiLevelType w:val="hybridMultilevel"/>
    <w:lvl w:ilvl="0">
      <w:lvlJc w:val="left"/>
      <w:lvlText w:val=" "/>
      <w:numFmt w:val="bullet"/>
      <w:start w:val="1"/>
    </w:lvl>
  </w:abstractNum>
  <w:abstractNum w:abstractNumId="44">
    <w:nsid w:val="275AC794"/>
    <w:multiLevelType w:val="hybridMultilevel"/>
    <w:lvl w:ilvl="0">
      <w:lvlJc w:val="left"/>
      <w:lvlText w:val=" "/>
      <w:numFmt w:val="bullet"/>
      <w:start w:val="1"/>
    </w:lvl>
  </w:abstractNum>
  <w:abstractNum w:abstractNumId="45">
    <w:nsid w:val="39386575"/>
    <w:multiLevelType w:val="hybridMultilevel"/>
    <w:lvl w:ilvl="0">
      <w:lvlJc w:val="left"/>
      <w:lvlText w:val=" "/>
      <w:numFmt w:val="bullet"/>
      <w:start w:val="1"/>
    </w:lvl>
  </w:abstractNum>
  <w:abstractNum w:abstractNumId="46">
    <w:nsid w:val="1CF10FD8"/>
    <w:multiLevelType w:val="hybridMultilevel"/>
    <w:lvl w:ilvl="0">
      <w:lvlJc w:val="left"/>
      <w:lvlText w:val=" "/>
      <w:numFmt w:val="bullet"/>
      <w:start w:val="1"/>
    </w:lvl>
  </w:abstractNum>
  <w:abstractNum w:abstractNumId="47">
    <w:nsid w:val="180115BE"/>
    <w:multiLevelType w:val="hybridMultilevel"/>
    <w:lvl w:ilvl="0">
      <w:lvlJc w:val="left"/>
      <w:lvlText w:val=" "/>
      <w:numFmt w:val="bullet"/>
      <w:start w:val="1"/>
    </w:lvl>
  </w:abstractNum>
  <w:abstractNum w:abstractNumId="48">
    <w:nsid w:val="235BA861"/>
    <w:multiLevelType w:val="hybridMultilevel"/>
    <w:lvl w:ilvl="0">
      <w:lvlJc w:val="left"/>
      <w:lvlText w:val="%1)"/>
      <w:numFmt w:val="decimal"/>
      <w:start w:val="3"/>
    </w:lvl>
  </w:abstractNum>
  <w:abstractNum w:abstractNumId="49">
    <w:nsid w:val="47398C89"/>
    <w:multiLevelType w:val="hybridMultilevel"/>
    <w:lvl w:ilvl="0">
      <w:lvlJc w:val="left"/>
      <w:lvlText w:val=" "/>
      <w:numFmt w:val="bullet"/>
      <w:start w:val="1"/>
    </w:lvl>
  </w:abstractNum>
  <w:abstractNum w:abstractNumId="50">
    <w:nsid w:val="354FE9F9"/>
    <w:multiLevelType w:val="hybridMultilevel"/>
    <w:lvl w:ilvl="0">
      <w:lvlJc w:val="left"/>
      <w:lvlText w:val=" "/>
      <w:numFmt w:val="bullet"/>
      <w:start w:val="1"/>
    </w:lvl>
  </w:abstractNum>
  <w:abstractNum w:abstractNumId="51">
    <w:nsid w:val="15B5AF5C"/>
    <w:multiLevelType w:val="hybridMultilevel"/>
    <w:lvl w:ilvl="0">
      <w:lvlJc w:val="left"/>
      <w:lvlText w:val=" "/>
      <w:numFmt w:val="bullet"/>
      <w:start w:val="1"/>
    </w:lvl>
  </w:abstractNum>
  <w:abstractNum w:abstractNumId="52">
    <w:nsid w:val="741226BB"/>
    <w:multiLevelType w:val="hybridMultilevel"/>
    <w:lvl w:ilvl="0">
      <w:lvlJc w:val="left"/>
      <w:lvlText w:val=" "/>
      <w:numFmt w:val="bullet"/>
      <w:start w:val="1"/>
    </w:lvl>
  </w:abstractNum>
  <w:abstractNum w:abstractNumId="53">
    <w:nsid w:val="D34B6A8"/>
    <w:multiLevelType w:val="hybridMultilevel"/>
    <w:lvl w:ilvl="0">
      <w:lvlJc w:val="left"/>
      <w:lvlText w:val=" "/>
      <w:numFmt w:val="bullet"/>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decimal"/>
      <w:start w:val="104"/>
    </w:lvl>
    <w:lvl w:ilvl="1">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
      <w:numFmt w:val="bullet"/>
      <w:start w:val="1"/>
    </w:lvl>
  </w:abstractNum>
  <w:abstractNum w:abstractNumId="60">
    <w:nsid w:val="310C50B3"/>
    <w:multiLevelType w:val="hybridMultilevel"/>
    <w:lvl w:ilvl="0">
      <w:lvlJc w:val="left"/>
      <w:lvlText w:val=" "/>
      <w:numFmt w:val="bullet"/>
      <w:start w:val="1"/>
    </w:lvl>
  </w:abstractNum>
  <w:abstractNum w:abstractNumId="61">
    <w:nsid w:val="5FF87E05"/>
    <w:multiLevelType w:val="hybridMultilevel"/>
    <w:lvl w:ilvl="0">
      <w:lvlJc w:val="left"/>
      <w:lvlText w:val="%1."/>
      <w:numFmt w:val="decimal"/>
      <w:start w:val="3"/>
    </w:lvl>
  </w:abstractNum>
  <w:abstractNum w:abstractNumId="62">
    <w:nsid w:val="2F305DEF"/>
    <w:multiLevelType w:val="hybridMultilevel"/>
    <w:lvl w:ilvl="0">
      <w:lvlJc w:val="left"/>
      <w:lvlText w:val=" "/>
      <w:numFmt w:val="bullet"/>
      <w:start w:val="1"/>
    </w:lvl>
  </w:abstractNum>
  <w:abstractNum w:abstractNumId="63">
    <w:nsid w:val="25A70BF7"/>
    <w:multiLevelType w:val="hybridMultilevel"/>
    <w:lvl w:ilvl="0">
      <w:lvlJc w:val="left"/>
      <w:lvlText w:val=" "/>
      <w:numFmt w:val="bullet"/>
      <w:start w:val="1"/>
    </w:lvl>
  </w:abstractNum>
  <w:abstractNum w:abstractNumId="64">
    <w:nsid w:val="1DBABF00"/>
    <w:multiLevelType w:val="hybridMultilevel"/>
    <w:lvl w:ilvl="0">
      <w:lvlJc w:val="left"/>
      <w:lvlText w:val=" "/>
      <w:numFmt w:val="bullet"/>
      <w:start w:val="1"/>
    </w:lvl>
  </w:abstractNum>
  <w:abstractNum w:abstractNumId="65">
    <w:nsid w:val="4AD084E9"/>
    <w:multiLevelType w:val="hybridMultilevel"/>
    <w:lvl w:ilvl="0">
      <w:lvlJc w:val="left"/>
      <w:lvlText w:val="%1."/>
      <w:numFmt w:val="decimal"/>
      <w:start w:val="12"/>
    </w:lvl>
  </w:abstractNum>
  <w:abstractNum w:abstractNumId="66">
    <w:nsid w:val="1F48EA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2026-06-08T08:19:39Z</dcterms:created>
  <dcterms:modified xsi:type="dcterms:W3CDTF">2026-06-08T08:19:39Z</dcterms:modified>
</cp:coreProperties>
</file>