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tbl>
      <w:tblPr>
        <w:tblLayout w:type="fixed"/>
        <w:tblInd w:w="8830" w:type="dxa"/>
        <w:tblCellMar>
          <w:top w:w="0" w:type="dxa"/>
          <w:left w:w="0" w:type="dxa"/>
          <w:bottom w:w="0" w:type="dxa"/>
          <w:right w:w="0" w:type="dxa"/>
        </w:tblCellMar>
      </w:tblPr>
      <w:tr>
        <w:trPr>
          <w:trHeight w:val="211"/>
        </w:trPr>
        <w:tc>
          <w:tcPr>
            <w:tcW w:w="2040" w:type="dxa"/>
            <w:vAlign w:val="bottom"/>
            <w:tcBorders>
              <w:top w:val="single" w:sz="8" w:color="auto"/>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SEC File Number</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w w:val="70"/>
              </w:rPr>
              <w:t>  </w:t>
            </w:r>
          </w:p>
        </w:tc>
      </w:tr>
      <w:tr>
        <w:trPr>
          <w:trHeight w:val="234"/>
        </w:trPr>
        <w:tc>
          <w:tcPr>
            <w:tcW w:w="2040" w:type="dxa"/>
            <w:vAlign w:val="bottom"/>
            <w:tcBorders>
              <w:left w:val="single" w:sz="8" w:color="auto"/>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001-38130</w:t>
            </w:r>
          </w:p>
        </w:tc>
        <w:tc>
          <w:tcPr>
            <w:tcW w:w="100" w:type="dxa"/>
            <w:vAlign w:val="bottom"/>
          </w:tcPr>
          <w:p>
            <w:pPr>
              <w:spacing w:after="0"/>
              <w:rPr>
                <w:sz w:val="20"/>
                <w:szCs w:val="20"/>
                <w:color w:val="auto"/>
              </w:rPr>
            </w:pPr>
          </w:p>
        </w:tc>
      </w:tr>
      <w:tr>
        <w:trPr>
          <w:trHeight w:val="191"/>
        </w:trPr>
        <w:tc>
          <w:tcPr>
            <w:tcW w:w="2040" w:type="dxa"/>
            <w:vAlign w:val="bottom"/>
            <w:tcBorders>
              <w:left w:val="single" w:sz="8" w:color="auto"/>
              <w:righ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w w:val="99"/>
              </w:rPr>
              <w:t>CUSIP Number</w:t>
            </w:r>
          </w:p>
        </w:tc>
        <w:tc>
          <w:tcPr>
            <w:tcW w:w="100" w:type="dxa"/>
            <w:vAlign w:val="bottom"/>
          </w:tcPr>
          <w:p>
            <w:pPr>
              <w:spacing w:after="0"/>
              <w:rPr>
                <w:sz w:val="16"/>
                <w:szCs w:val="16"/>
                <w:color w:val="auto"/>
              </w:rPr>
            </w:pPr>
          </w:p>
        </w:tc>
      </w:tr>
      <w:tr>
        <w:trPr>
          <w:trHeight w:val="234"/>
        </w:trPr>
        <w:tc>
          <w:tcPr>
            <w:tcW w:w="20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00887A204</w:t>
            </w:r>
          </w:p>
        </w:tc>
        <w:tc>
          <w:tcPr>
            <w:tcW w:w="1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ectPr>
          <w:pgSz w:w="11900" w:h="16873" w:orient="portrait"/>
          <w:cols w:equalWidth="0" w:num="1">
            <w:col w:w="10980"/>
          </w:cols>
          <w:pgMar w:left="440" w:top="227" w:right="479" w:bottom="0" w:gutter="0" w:footer="0" w:header="0"/>
        </w:sectPr>
      </w:pPr>
    </w:p>
    <w:p>
      <w:pPr>
        <w:spacing w:after="0" w:line="244"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i w:val="1"/>
          <w:iCs w:val="1"/>
          <w:color w:val="auto"/>
        </w:rPr>
        <w:t>(Check one):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both"/>
        <w:spacing w:after="0" w:line="260"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10-K 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10-D </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right="2820"/>
        <w:spacing w:after="0" w:line="25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76" w:lineRule="exact"/>
        <w:rPr>
          <w:sz w:val="24"/>
          <w:szCs w:val="24"/>
          <w:color w:val="auto"/>
        </w:rPr>
      </w:pPr>
    </w:p>
    <w:p>
      <w:pPr>
        <w:sectPr>
          <w:pgSz w:w="11900" w:h="16873" w:orient="portrait"/>
          <w:cols w:equalWidth="0" w:num="3">
            <w:col w:w="3020" w:space="280"/>
            <w:col w:w="1100" w:space="180"/>
            <w:col w:w="6400"/>
          </w:cols>
          <w:pgMar w:left="440" w:top="227" w:right="479" w:bottom="0" w:gutter="0" w:footer="0" w:header="0"/>
          <w:type w:val="continuous"/>
        </w:sectPr>
      </w:pPr>
    </w:p>
    <w:p>
      <w:pPr>
        <w:ind w:left="3300"/>
        <w:spacing w:after="0"/>
        <w:rPr>
          <w:sz w:val="20"/>
          <w:szCs w:val="20"/>
          <w:color w:val="auto"/>
        </w:rPr>
      </w:pPr>
      <w:r>
        <w:rPr>
          <w:rFonts w:ascii="Times New Roman" w:cs="Times New Roman" w:eastAsia="Times New Roman" w:hAnsi="Times New Roman"/>
          <w:sz w:val="18"/>
          <w:szCs w:val="18"/>
          <w:color w:val="auto"/>
        </w:rPr>
        <w:t>For Period Ended: December 31, 2023</w:t>
      </w:r>
    </w:p>
    <w:p>
      <w:pPr>
        <w:spacing w:after="0" w:line="7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10-K</w:t>
      </w:r>
    </w:p>
    <w:p>
      <w:pPr>
        <w:spacing w:after="0" w:line="9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20-F</w:t>
      </w:r>
    </w:p>
    <w:p>
      <w:pPr>
        <w:spacing w:after="0" w:line="3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11-K</w:t>
      </w:r>
    </w:p>
    <w:p>
      <w:pPr>
        <w:spacing w:after="0" w:line="3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10-Q</w:t>
      </w:r>
    </w:p>
    <w:p>
      <w:pPr>
        <w:spacing w:after="0" w:line="9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For the Transition Period Ended:  </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2658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342900"/>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Nothing in this form shall be construed to imply that the Commission has verified any information contained herein.</w:t>
      </w: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 INFORMATION</w:t>
      </w:r>
    </w:p>
    <w:p>
      <w:pPr>
        <w:sectPr>
          <w:pgSz w:w="11900" w:h="16873" w:orient="portrait"/>
          <w:cols w:equalWidth="0" w:num="1">
            <w:col w:w="10980"/>
          </w:cols>
          <w:pgMar w:left="440" w:top="227" w:right="479" w:bottom="0" w:gutter="0" w:footer="0" w:header="0"/>
          <w:type w:val="continuous"/>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Aileron Therapeutics, Inc.</w:t>
      </w:r>
    </w:p>
    <w:p>
      <w:pPr>
        <w:spacing w:after="0" w:line="38" w:lineRule="exact"/>
        <w:rPr>
          <w:sz w:val="24"/>
          <w:szCs w:val="24"/>
          <w:color w:val="auto"/>
        </w:rPr>
      </w:pPr>
    </w:p>
    <w:p>
      <w:pPr>
        <w:sectPr>
          <w:pgSz w:w="11900" w:h="16873" w:orient="portrait"/>
          <w:cols w:equalWidth="0" w:num="2">
            <w:col w:w="5020" w:space="720"/>
            <w:col w:w="5240"/>
          </w:cols>
          <w:pgMar w:left="440" w:top="227" w:right="479" w:bottom="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Former Name if Applicable:</w:t>
      </w:r>
    </w:p>
    <w:p>
      <w:pPr>
        <w:sectPr>
          <w:pgSz w:w="11900" w:h="16873" w:orient="portrait"/>
          <w:cols w:equalWidth="0" w:num="1">
            <w:col w:w="10980"/>
          </w:cols>
          <w:pgMar w:left="440" w:top="227" w:right="479" w:bottom="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Address of Principal Executive Office (</w:t>
      </w:r>
      <w:r>
        <w:rPr>
          <w:rFonts w:ascii="Times New Roman" w:cs="Times New Roman" w:eastAsia="Times New Roman" w:hAnsi="Times New Roman"/>
          <w:sz w:val="17"/>
          <w:szCs w:val="17"/>
          <w:i w:val="1"/>
          <w:iCs w:val="1"/>
          <w:color w:val="auto"/>
        </w:rPr>
        <w:t>Street and Number</w:t>
      </w:r>
      <w:r>
        <w:rPr>
          <w:rFonts w:ascii="Times New Roman" w:cs="Times New Roman" w:eastAsia="Times New Roman" w:hAnsi="Times New Roman"/>
          <w:sz w:val="17"/>
          <w:szCs w:val="17"/>
          <w:color w:val="auto"/>
        </w:rPr>
        <w: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12407 N. Mopac Expy. Suite 250 #390</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Austin, Texas 78758</w:t>
      </w:r>
    </w:p>
    <w:p>
      <w:pPr>
        <w:spacing w:after="0" w:line="200" w:lineRule="exact"/>
        <w:rPr>
          <w:sz w:val="24"/>
          <w:szCs w:val="24"/>
          <w:color w:val="auto"/>
        </w:rPr>
      </w:pPr>
    </w:p>
    <w:p>
      <w:pPr>
        <w:sectPr>
          <w:pgSz w:w="11900" w:h="16873" w:orient="portrait"/>
          <w:cols w:equalWidth="0" w:num="2">
            <w:col w:w="5020" w:space="720"/>
            <w:col w:w="5240"/>
          </w:cols>
          <w:pgMar w:left="440" w:top="227" w:right="479" w:bottom="0" w:gutter="0" w:footer="0" w:header="0"/>
          <w:type w:val="continuous"/>
        </w:sectPr>
      </w:pPr>
    </w:p>
    <w:p>
      <w:pPr>
        <w:spacing w:after="0" w:line="1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RULES 12b-25(b) AND (c)</w:t>
      </w:r>
    </w:p>
    <w:p>
      <w:pPr>
        <w:spacing w:after="0" w:line="207"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8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(a)  The reason described in reasonable detail in Part III of this form could not be eliminated without unreasonable effort or expense;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wp:posOffset>
            </wp:positionH>
            <wp:positionV relativeFrom="paragraph">
              <wp:posOffset>-119380</wp:posOffset>
            </wp:positionV>
            <wp:extent cx="8890" cy="960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960120"/>
                    </a:xfrm>
                    <a:prstGeom prst="rect">
                      <a:avLst/>
                    </a:prstGeom>
                    <a:noFill/>
                  </pic:spPr>
                </pic:pic>
              </a:graphicData>
            </a:graphic>
          </wp:anchor>
        </w:drawing>
      </w:r>
    </w:p>
    <w:p>
      <w:pPr>
        <w:spacing w:after="0" w:line="56" w:lineRule="exact"/>
        <w:rPr>
          <w:sz w:val="24"/>
          <w:szCs w:val="24"/>
          <w:color w:val="auto"/>
        </w:rPr>
      </w:pPr>
    </w:p>
    <w:p>
      <w:pPr>
        <w:ind w:left="840" w:right="220" w:hanging="706"/>
        <w:spacing w:after="0" w:line="23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9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pacing w:after="0" w:line="3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NARRATIVE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Aileron Therapeutics, Inc. (the “Company”) has determined that it is unable to file its Annual Report on Form 10-K for the fiscal year ended</w:t>
      </w:r>
    </w:p>
    <w:p>
      <w:pPr>
        <w:spacing w:after="0" w:line="27" w:lineRule="exact"/>
        <w:rPr>
          <w:sz w:val="24"/>
          <w:szCs w:val="24"/>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December 31, 2023 (the “Form 10-K”) within the prescribed time period without unreasonable effort or expense. The Company requires additional time to complete technical accounting matters related to the purchase price allocation of its acquisition of Lung Therapeutics, Inc. (the “Lung Acquisition”), which closed on October 31, 2023, and to finalize its financial statements included in the Form 10-K. The closing of the Lung Acquisition was reported on a current report on Form 8-K filed with the Securities and Exchange Commission on October 31, 2023. The Company intends to file the Form 10-K no later than the fifteenth calendar day after the prescribed due date.</w:t>
      </w:r>
    </w:p>
    <w:p>
      <w:pPr>
        <w:spacing w:after="0" w:line="2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ectPr>
          <w:pgSz w:w="11900" w:h="16873" w:orient="portrait"/>
          <w:cols w:equalWidth="0" w:num="1">
            <w:col w:w="10980"/>
          </w:cols>
          <w:pgMar w:left="440" w:top="227" w:right="479" w:bottom="0" w:gutter="0" w:footer="0" w:header="0"/>
          <w:type w:val="continuous"/>
        </w:sectPr>
      </w:pPr>
    </w:p>
    <w:bookmarkStart w:id="1" w:name="page2"/>
    <w:bookmarkEnd w:id="1"/>
    <w:tbl>
      <w:tblPr>
        <w:tblLayout w:type="fixed"/>
        <w:tblInd w:w="4"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660" w:type="dxa"/>
            <w:vAlign w:val="bottom"/>
          </w:tcPr>
          <w:p>
            <w:pPr>
              <w:spacing w:after="0"/>
              <w:rPr>
                <w:sz w:val="20"/>
                <w:szCs w:val="20"/>
                <w:color w:val="auto"/>
              </w:rPr>
            </w:pPr>
          </w:p>
        </w:tc>
      </w:tr>
      <w:tr>
        <w:trPr>
          <w:trHeight w:val="459"/>
        </w:trPr>
        <w:tc>
          <w:tcPr>
            <w:tcW w:w="7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66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3460" w:type="dxa"/>
            <w:vAlign w:val="bottom"/>
          </w:tcPr>
          <w:p>
            <w:pPr>
              <w:jc w:val="center"/>
              <w:ind w:left="959"/>
              <w:spacing w:after="0"/>
              <w:rPr>
                <w:sz w:val="20"/>
                <w:szCs w:val="20"/>
                <w:color w:val="auto"/>
              </w:rPr>
            </w:pPr>
            <w:r>
              <w:rPr>
                <w:rFonts w:ascii="Times New Roman" w:cs="Times New Roman" w:eastAsia="Times New Roman" w:hAnsi="Times New Roman"/>
                <w:sz w:val="18"/>
                <w:szCs w:val="18"/>
                <w:color w:val="auto"/>
                <w:w w:val="99"/>
              </w:rPr>
              <w:t>James Brian Windsor</w:t>
            </w:r>
          </w:p>
        </w:tc>
        <w:tc>
          <w:tcPr>
            <w:tcW w:w="94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74"/>
              </w:rPr>
              <w:t>737</w:t>
            </w:r>
            <w:r>
              <w:rPr>
                <w:rFonts w:ascii="Times New Roman" w:cs="Times New Roman" w:eastAsia="Times New Roman" w:hAnsi="Times New Roman"/>
                <w:sz w:val="8"/>
                <w:szCs w:val="8"/>
                <w:color w:val="auto"/>
                <w:w w:val="74"/>
              </w:rPr>
              <w:t> </w:t>
            </w:r>
          </w:p>
        </w:tc>
        <w:tc>
          <w:tcPr>
            <w:tcW w:w="3660" w:type="dxa"/>
            <w:vAlign w:val="bottom"/>
          </w:tcPr>
          <w:p>
            <w:pPr>
              <w:jc w:val="right"/>
              <w:ind w:right="1779"/>
              <w:spacing w:after="0"/>
              <w:rPr>
                <w:sz w:val="20"/>
                <w:szCs w:val="20"/>
                <w:color w:val="auto"/>
              </w:rPr>
            </w:pPr>
            <w:r>
              <w:rPr>
                <w:rFonts w:ascii="Times New Roman" w:cs="Times New Roman" w:eastAsia="Times New Roman" w:hAnsi="Times New Roman"/>
                <w:sz w:val="18"/>
                <w:szCs w:val="18"/>
                <w:color w:val="auto"/>
              </w:rPr>
              <w:t>802-1989</w:t>
            </w:r>
          </w:p>
        </w:tc>
      </w:tr>
      <w:tr>
        <w:trPr>
          <w:trHeight w:val="182"/>
        </w:trPr>
        <w:tc>
          <w:tcPr>
            <w:tcW w:w="580" w:type="dxa"/>
            <w:vAlign w:val="bottom"/>
          </w:tcPr>
          <w:p>
            <w:pPr>
              <w:spacing w:after="0"/>
              <w:rPr>
                <w:sz w:val="15"/>
                <w:szCs w:val="15"/>
                <w:color w:val="auto"/>
              </w:rPr>
            </w:pPr>
          </w:p>
        </w:tc>
        <w:tc>
          <w:tcPr>
            <w:tcW w:w="3460" w:type="dxa"/>
            <w:vAlign w:val="bottom"/>
            <w:tcBorders>
              <w:top w:val="single" w:sz="8" w:color="auto"/>
            </w:tcBorders>
          </w:tcPr>
          <w:p>
            <w:pPr>
              <w:jc w:val="center"/>
              <w:ind w:left="979"/>
              <w:spacing w:after="0"/>
              <w:rPr>
                <w:sz w:val="20"/>
                <w:szCs w:val="20"/>
                <w:color w:val="auto"/>
              </w:rPr>
            </w:pPr>
            <w:r>
              <w:rPr>
                <w:rFonts w:ascii="Times New Roman" w:cs="Times New Roman" w:eastAsia="Times New Roman" w:hAnsi="Times New Roman"/>
                <w:sz w:val="14"/>
                <w:szCs w:val="14"/>
                <w:color w:val="auto"/>
              </w:rPr>
              <w:t>(Name)</w:t>
            </w:r>
          </w:p>
        </w:tc>
        <w:tc>
          <w:tcPr>
            <w:tcW w:w="9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(Area Code)</w:t>
            </w:r>
          </w:p>
        </w:tc>
        <w:tc>
          <w:tcPr>
            <w:tcW w:w="3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tcPr>
          <w:p>
            <w:pPr>
              <w:jc w:val="center"/>
              <w:ind w:right="659"/>
              <w:spacing w:after="0"/>
              <w:rPr>
                <w:sz w:val="20"/>
                <w:szCs w:val="20"/>
                <w:color w:val="auto"/>
              </w:rPr>
            </w:pPr>
            <w:r>
              <w:rPr>
                <w:rFonts w:ascii="Times New Roman" w:cs="Times New Roman" w:eastAsia="Times New Roman" w:hAnsi="Times New Roman"/>
                <w:sz w:val="14"/>
                <w:szCs w:val="14"/>
                <w:color w:val="auto"/>
              </w:rPr>
              <w:t>(Telephone Number)</w:t>
            </w:r>
          </w:p>
        </w:tc>
      </w:tr>
    </w:tbl>
    <w:p>
      <w:pPr>
        <w:spacing w:after="0" w:line="50" w:lineRule="exact"/>
        <w:rPr>
          <w:sz w:val="20"/>
          <w:szCs w:val="20"/>
          <w:color w:val="auto"/>
        </w:rPr>
      </w:pPr>
    </w:p>
    <w:p>
      <w:pPr>
        <w:ind w:left="684" w:right="360" w:hanging="684"/>
        <w:spacing w:after="0" w:line="273" w:lineRule="auto"/>
        <w:tabs>
          <w:tab w:leader="none" w:pos="68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684"/>
        <w:spacing w:after="0" w:line="207" w:lineRule="exact"/>
        <w:tabs>
          <w:tab w:leader="none" w:pos="3724" w:val="left"/>
        </w:tabs>
        <w:rPr>
          <w:sz w:val="20"/>
          <w:szCs w:val="20"/>
          <w:color w:val="auto"/>
        </w:rPr>
      </w:pPr>
      <w:r>
        <w:rPr>
          <w:rFonts w:ascii="Times New Roman" w:cs="Times New Roman" w:eastAsia="Times New Roman" w:hAnsi="Times New Roman"/>
          <w:sz w:val="18"/>
          <w:szCs w:val="18"/>
          <w:color w:val="auto"/>
        </w:rPr>
        <w:t>filed? If answer is no, identify report(s). </w:t>
      </w:r>
      <w:r>
        <w:rPr>
          <w:sz w:val="20"/>
          <w:szCs w:val="20"/>
          <w:color w:val="auto"/>
        </w:rPr>
        <w:tab/>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 xml:space="preserve">  No</w:t>
      </w:r>
    </w:p>
    <w:p>
      <w:pPr>
        <w:spacing w:after="0" w:line="212" w:lineRule="exact"/>
        <w:rPr>
          <w:sz w:val="20"/>
          <w:szCs w:val="20"/>
          <w:color w:val="auto"/>
        </w:rPr>
      </w:pPr>
    </w:p>
    <w:p>
      <w:pPr>
        <w:ind w:left="684"/>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17145</wp:posOffset>
            </wp:positionV>
            <wp:extent cx="6626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97" w:lineRule="exact"/>
        <w:rPr>
          <w:sz w:val="20"/>
          <w:szCs w:val="20"/>
          <w:color w:val="auto"/>
        </w:rPr>
      </w:pPr>
    </w:p>
    <w:p>
      <w:pPr>
        <w:ind w:left="684" w:hanging="684"/>
        <w:spacing w:after="0"/>
        <w:tabs>
          <w:tab w:leader="none" w:pos="6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w:t>
      </w:r>
    </w:p>
    <w:p>
      <w:pPr>
        <w:spacing w:after="0" w:line="22" w:lineRule="exact"/>
        <w:rPr>
          <w:sz w:val="20"/>
          <w:szCs w:val="20"/>
          <w:color w:val="auto"/>
        </w:rPr>
      </w:pPr>
    </w:p>
    <w:p>
      <w:pPr>
        <w:ind w:left="684"/>
        <w:spacing w:after="0" w:line="207" w:lineRule="exact"/>
        <w:tabs>
          <w:tab w:leader="none" w:pos="6204" w:val="left"/>
        </w:tabs>
        <w:rPr>
          <w:sz w:val="20"/>
          <w:szCs w:val="20"/>
          <w:color w:val="auto"/>
        </w:rPr>
      </w:pPr>
      <w:r>
        <w:rPr>
          <w:rFonts w:ascii="Times New Roman" w:cs="Times New Roman" w:eastAsia="Times New Roman" w:hAnsi="Times New Roman"/>
          <w:sz w:val="18"/>
          <w:szCs w:val="18"/>
          <w:color w:val="auto"/>
        </w:rPr>
        <w:t>earnings statements to be included in the subject report or portion thereof? </w:t>
      </w:r>
      <w:r>
        <w:rPr>
          <w:sz w:val="20"/>
          <w:szCs w:val="20"/>
          <w:color w:val="auto"/>
        </w:rPr>
        <w:tab/>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 xml:space="preserve">  No</w:t>
      </w:r>
    </w:p>
    <w:p>
      <w:pPr>
        <w:spacing w:after="0" w:line="104" w:lineRule="exact"/>
        <w:rPr>
          <w:sz w:val="20"/>
          <w:szCs w:val="20"/>
          <w:color w:val="auto"/>
        </w:rPr>
      </w:pPr>
    </w:p>
    <w:p>
      <w:pPr>
        <w:ind w:left="684" w:right="8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The Company’s results of operations for the year ended December 31, 2023 will be significantly different as compared to the results of operations for the corresponding period for the year ended December 31, 2022 due to the Lung Acquisition. The results of operations for the year ended December 31, 2023 of the Company include the results of operations of Lung Therapeutics, Inc. from October 31, 2023, the closing date of the Lung Acquisition, and are therefore not directly comparable to the results of operations for the corresponding period in the prior fiscal year.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This Form 12b-25 includes “forward-looking statements” within the meaning of the Private Securities Litigation Reform Act of 1995, as amended. Forward-looking statements generally relate to future events, such as statements related to expected results of operations to be reported in the Form 10-K and the timing of filing the Form 10-K. We use words such as “anticipate,” “believe,” “estimate,” “expect,” “hope,” “intend,” “may,” “plan,” “predict,” “project,” “target,” “potential,” “would,” “can,” “could,” “should,” “continue,” and other words and terms of similar meaning to help identify forward-looking statements, although not all forward-looking statements contain these identifying words. Actual results may differ materially from those indicated by such forward-looking statements as a result of various important factors, including the Company’s ability to complete the Form 10-K and the audit of its financial statements for the fiscal year ended December 31, 2023 within the applicable time periods; as well as the risks and uncertainties discussed in the “Risk Factors” section of the Company’s Annual Report on Form 10-K for the year ended December 31, 2022, which is on file with the United States Securities and Exchange Commission (the “SEC”); the risks and uncertainties discussed under the heading “Risk Factors” of the Company’s Current Report on Form 8-K filed with the SEC on January 25, 2024; and in subsequent filings that the Company files with the SEC. These forward-looking statements should not be relied upon as representing the Company’s view as of any date subsequent to the date of this Form 12b-25, and we expressly disclaim any obligation to update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8260" w:type="dxa"/>
            <w:vAlign w:val="bottom"/>
            <w:gridSpan w:val="2"/>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9"/>
              </w:rPr>
              <w:t>AILERON THERAPEUTICS, INC.</w:t>
            </w:r>
          </w:p>
        </w:tc>
      </w:tr>
      <w:tr>
        <w:trPr>
          <w:trHeight w:val="188"/>
        </w:trPr>
        <w:tc>
          <w:tcPr>
            <w:tcW w:w="2760" w:type="dxa"/>
            <w:vAlign w:val="bottom"/>
          </w:tcPr>
          <w:p>
            <w:pPr>
              <w:spacing w:after="0"/>
              <w:rPr>
                <w:sz w:val="16"/>
                <w:szCs w:val="16"/>
                <w:color w:val="auto"/>
              </w:rPr>
            </w:pPr>
          </w:p>
        </w:tc>
        <w:tc>
          <w:tcPr>
            <w:tcW w:w="8260" w:type="dxa"/>
            <w:vAlign w:val="bottom"/>
            <w:gridSpan w:val="2"/>
          </w:tcPr>
          <w:p>
            <w:pPr>
              <w:jc w:val="center"/>
              <w:ind w:right="2670"/>
              <w:spacing w:after="0"/>
              <w:rPr>
                <w:sz w:val="20"/>
                <w:szCs w:val="20"/>
                <w:color w:val="auto"/>
              </w:rPr>
            </w:pPr>
            <w:r>
              <w:rPr>
                <w:rFonts w:ascii="Times New Roman" w:cs="Times New Roman" w:eastAsia="Times New Roman" w:hAnsi="Times New Roman"/>
                <w:sz w:val="14"/>
                <w:szCs w:val="14"/>
                <w:color w:val="auto"/>
              </w:rPr>
              <w:t>(Name of Registrant as Specified in Charter)</w:t>
            </w:r>
          </w:p>
        </w:tc>
      </w:tr>
      <w:tr>
        <w:trPr>
          <w:trHeight w:val="415"/>
        </w:trPr>
        <w:tc>
          <w:tcPr>
            <w:tcW w:w="1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tc>
      </w:tr>
      <w:tr>
        <w:trPr>
          <w:trHeight w:val="459"/>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2024</w:t>
            </w:r>
          </w:p>
        </w:tc>
        <w:tc>
          <w:tcPr>
            <w:tcW w:w="34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Brian Windsor</w:t>
            </w:r>
          </w:p>
        </w:tc>
      </w:tr>
      <w:tr>
        <w:trPr>
          <w:trHeight w:val="205"/>
        </w:trPr>
        <w:tc>
          <w:tcPr>
            <w:tcW w:w="2760" w:type="dxa"/>
            <w:vAlign w:val="bottom"/>
          </w:tcPr>
          <w:p>
            <w:pPr>
              <w:spacing w:after="0"/>
              <w:rPr>
                <w:sz w:val="17"/>
                <w:szCs w:val="17"/>
                <w:color w:val="auto"/>
              </w:rPr>
            </w:pPr>
          </w:p>
        </w:tc>
        <w:tc>
          <w:tcPr>
            <w:tcW w:w="3400" w:type="dxa"/>
            <w:vAlign w:val="bottom"/>
          </w:tcPr>
          <w:p>
            <w:pPr>
              <w:ind w:left="27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Brian Windsor</w:t>
            </w:r>
          </w:p>
        </w:tc>
      </w:tr>
      <w:tr>
        <w:trPr>
          <w:trHeight w:val="234"/>
        </w:trPr>
        <w:tc>
          <w:tcPr>
            <w:tcW w:w="2760" w:type="dxa"/>
            <w:vAlign w:val="bottom"/>
          </w:tcPr>
          <w:p>
            <w:pPr>
              <w:spacing w:after="0"/>
              <w:rPr>
                <w:sz w:val="20"/>
                <w:szCs w:val="20"/>
                <w:color w:val="auto"/>
              </w:rPr>
            </w:pPr>
          </w:p>
        </w:tc>
        <w:tc>
          <w:tcPr>
            <w:tcW w:w="34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27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19"/>
                <w:szCs w:val="19"/>
                <w:color w:val="auto"/>
              </w:rPr>
            </w:pPr>
          </w:p>
        </w:tc>
      </w:tr>
      <w:tr>
        <w:trPr>
          <w:trHeight w:val="48"/>
        </w:trPr>
        <w:tc>
          <w:tcPr>
            <w:tcW w:w="276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2024-04-03T18:25:06Z</dcterms:created>
  <dcterms:modified xsi:type="dcterms:W3CDTF">2024-04-03T18:25:06Z</dcterms:modified>
</cp:coreProperties>
</file>