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ntx-20260630.htm"/>
      <w:bookmarkStart w:id="1" w:name="ksrntx20260630"/>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4"/>
        </w:rPr>
      </w:pPr>
      <w:r>
        <w:rPr>
          <w:rFonts w:ascii="Times New Roman" w:hAnsi="Times New Roman"/>
          <w:b/>
          <w:color w:val="000000"/>
          <w:sz w:val="34"/>
        </w:rPr>
        <w:t>UNITED STATES</w:t>
      </w:r>
    </w:p>
    <w:p>
      <w:pPr>
        <w:pStyle w:val="TextBody"/>
        <w:bidi w:val="0"/>
        <w:jc w:val="center"/>
        <w:rPr>
          <w:rFonts w:ascii="Times New Roman" w:hAnsi="Times New Roman"/>
          <w:b/>
          <w:color w:val="000000"/>
          <w:sz w:val="34"/>
        </w:rPr>
      </w:pPr>
      <w:r>
        <w:rPr>
          <w:rFonts w:ascii="Times New Roman" w:hAnsi="Times New Roman"/>
          <w:b/>
          <w:color w:val="000000"/>
          <w:sz w:val="34"/>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spacing w:before="120" w:after="283"/>
        <w:jc w:val="center"/>
        <w:rPr>
          <w:rFonts w:ascii="Times New Roman" w:hAnsi="Times New Roman"/>
          <w:b/>
          <w:color w:val="000000"/>
          <w:sz w:val="34"/>
        </w:rPr>
      </w:pPr>
      <w:r>
        <w:rPr>
          <w:rFonts w:ascii="Times New Roman" w:hAnsi="Times New Roman"/>
          <w:b/>
          <w:color w:val="000000"/>
          <w:sz w:val="34"/>
        </w:rPr>
        <w:t>FORM 10-Q</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001-38130</w:t>
      </w:r>
    </w:p>
    <w:p>
      <w:pPr>
        <w:pStyle w:val="TextBody"/>
        <w:bidi w:val="0"/>
        <w:spacing w:before="120" w:after="283"/>
        <w:jc w:val="center"/>
        <w:rPr>
          <w:rFonts w:ascii="Times New Roman" w:hAnsi="Times New Roman"/>
          <w:b/>
          <w:color w:val="000000"/>
          <w:sz w:val="44"/>
        </w:rPr>
      </w:pPr>
      <w:r>
        <w:rPr>
          <w:rFonts w:ascii="Times New Roman" w:hAnsi="Times New Roman"/>
          <w:b/>
          <w:color w:val="000000"/>
          <w:sz w:val="44"/>
        </w:rPr>
        <w:t>Rein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4521" w:type="dxa"/>
        <w:jc w:val="left"/>
        <w:tblInd w:w="0" w:type="dxa"/>
        <w:tblLayout w:type="fixed"/>
        <w:tblCellMar>
          <w:top w:w="28" w:type="dxa"/>
          <w:left w:w="28" w:type="dxa"/>
          <w:bottom w:w="28" w:type="dxa"/>
          <w:right w:w="28" w:type="dxa"/>
        </w:tblCellMar>
      </w:tblPr>
      <w:tblGrid>
        <w:gridCol w:w="2926"/>
        <w:gridCol w:w="109"/>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13-4196017</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12407 N. Mopac Expy.</w:t>
            </w:r>
          </w:p>
          <w:p>
            <w:pPr>
              <w:pStyle w:val="TableContents"/>
              <w:bidi w:val="0"/>
              <w:jc w:val="center"/>
              <w:rPr>
                <w:rFonts w:ascii="Times New Roman" w:hAnsi="Times New Roman"/>
                <w:sz w:val="20"/>
              </w:rPr>
            </w:pPr>
            <w:r>
              <w:rPr>
                <w:rFonts w:ascii="Times New Roman" w:hAnsi="Times New Roman"/>
                <w:b/>
                <w:color w:val="000000"/>
                <w:sz w:val="16"/>
              </w:rPr>
              <w:t>Suite 250</w:t>
            </w:r>
            <w:r>
              <w:rPr>
                <w:rFonts w:ascii="Times New Roman" w:hAnsi="Times New Roman"/>
                <w:color w:val="000000"/>
                <w:sz w:val="20"/>
              </w:rPr>
              <w:t xml:space="preserve"> </w:t>
            </w:r>
            <w:r>
              <w:rPr>
                <w:rFonts w:ascii="Times New Roman" w:hAnsi="Times New Roman"/>
                <w:b/>
                <w:color w:val="000000"/>
                <w:sz w:val="16"/>
              </w:rPr>
              <w:t>#390</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Austin, TX</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78758</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20" w:after="283"/>
        <w:jc w:val="center"/>
        <w:rPr>
          <w:rFonts w:ascii="Times New Roman" w:hAnsi="Times New Roman"/>
          <w:b/>
          <w:color w:val="000000"/>
          <w:sz w:val="19"/>
        </w:rPr>
      </w:pPr>
      <w:r>
        <w:rPr>
          <w:rFonts w:ascii="Times New Roman" w:hAnsi="Times New Roman"/>
          <w:b/>
          <w:color w:val="000000"/>
          <w:sz w:val="19"/>
        </w:rPr>
        <w:t>Registrant’s telephone number, including area code: (737) 802-1989</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Securities registered pursuant to Section 12(b) of the Act:</w:t>
      </w:r>
    </w:p>
    <w:p>
      <w:pPr>
        <w:pStyle w:val="TextBody"/>
        <w:bidi w:val="0"/>
        <w:jc w:val="left"/>
        <w:rPr/>
      </w:pPr>
      <w:r>
        <w:rPr/>
        <w:t> </w:t>
      </w:r>
    </w:p>
    <w:tbl>
      <w:tblPr>
        <w:tblW w:w="8733" w:type="dxa"/>
        <w:jc w:val="left"/>
        <w:tblInd w:w="0" w:type="dxa"/>
        <w:tblLayout w:type="fixed"/>
        <w:tblCellMar>
          <w:top w:w="28" w:type="dxa"/>
          <w:left w:w="28" w:type="dxa"/>
          <w:bottom w:w="28" w:type="dxa"/>
          <w:right w:w="28" w:type="dxa"/>
        </w:tblCellMar>
      </w:tblPr>
      <w:tblGrid>
        <w:gridCol w:w="3601"/>
        <w:gridCol w:w="1426"/>
        <w:gridCol w:w="3706"/>
      </w:tblGrid>
      <w:tr>
        <w:trPr/>
        <w:tc>
          <w:tcPr>
            <w:tcW w:w="360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60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40" w:after="283"/>
              <w:jc w:val="center"/>
              <w:rPr>
                <w:rFonts w:ascii="Times New Roman" w:hAnsi="Times New Roman"/>
                <w:color w:val="000000"/>
                <w:sz w:val="19"/>
              </w:rPr>
            </w:pPr>
            <w:r>
              <w:rPr>
                <w:rFonts w:ascii="Times New Roman" w:hAnsi="Times New Roman"/>
                <w:color w:val="000000"/>
                <w:sz w:val="19"/>
              </w:rPr>
              <w:t>Title of each class</w:t>
            </w:r>
          </w:p>
        </w:tc>
        <w:tc>
          <w:tcPr>
            <w:tcW w:w="14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40" w:after="283"/>
              <w:jc w:val="center"/>
              <w:rPr>
                <w:rFonts w:ascii="Times New Roman" w:hAnsi="Times New Roman"/>
                <w:color w:val="000000"/>
                <w:sz w:val="19"/>
              </w:rPr>
            </w:pPr>
            <w:r>
              <w:rPr>
                <w:rFonts w:ascii="Times New Roman" w:hAnsi="Times New Roman"/>
                <w:color w:val="000000"/>
                <w:sz w:val="19"/>
              </w:rPr>
              <w:t>Trading Symbol</w:t>
            </w:r>
          </w:p>
        </w:tc>
        <w:tc>
          <w:tcPr>
            <w:tcW w:w="370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40" w:after="283"/>
              <w:jc w:val="center"/>
              <w:rPr>
                <w:rFonts w:ascii="Times New Roman" w:hAnsi="Times New Roman"/>
                <w:color w:val="000000"/>
                <w:sz w:val="19"/>
              </w:rPr>
            </w:pPr>
            <w:r>
              <w:rPr>
                <w:rFonts w:ascii="Times New Roman" w:hAnsi="Times New Roman"/>
                <w:color w:val="000000"/>
                <w:sz w:val="19"/>
              </w:rPr>
              <w:t>Name of each exchange on which registered</w:t>
            </w:r>
          </w:p>
        </w:tc>
      </w:tr>
      <w:tr>
        <w:trPr/>
        <w:tc>
          <w:tcPr>
            <w:tcW w:w="360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40" w:after="283"/>
              <w:jc w:val="center"/>
              <w:rPr>
                <w:rFonts w:ascii="Times New Roman" w:hAnsi="Times New Roman"/>
                <w:color w:val="000000"/>
                <w:sz w:val="19"/>
              </w:rPr>
            </w:pPr>
            <w:r>
              <w:rPr>
                <w:rFonts w:ascii="Times New Roman" w:hAnsi="Times New Roman"/>
                <w:color w:val="000000"/>
                <w:sz w:val="19"/>
              </w:rPr>
              <w:t>Common Stock, $0.001 par value per share</w:t>
            </w:r>
          </w:p>
        </w:tc>
        <w:tc>
          <w:tcPr>
            <w:tcW w:w="1426" w:type="dxa"/>
            <w:tcBorders>
              <w:bottom w:val="single" w:sz="4" w:space="0" w:color="000000"/>
              <w:right w:val="single" w:sz="4" w:space="0" w:color="000000"/>
            </w:tcBorders>
            <w:tcMar>
              <w:top w:w="0" w:type="dxa"/>
              <w:left w:w="0" w:type="dxa"/>
            </w:tcMar>
            <w:vAlign w:val="center"/>
          </w:tcPr>
          <w:p>
            <w:pPr>
              <w:pStyle w:val="TableContents"/>
              <w:bidi w:val="0"/>
              <w:spacing w:before="40" w:after="283"/>
              <w:jc w:val="center"/>
              <w:rPr>
                <w:rFonts w:ascii="Times New Roman" w:hAnsi="Times New Roman"/>
                <w:color w:val="000000"/>
                <w:sz w:val="19"/>
              </w:rPr>
            </w:pPr>
            <w:r>
              <w:rPr>
                <w:rFonts w:ascii="Times New Roman" w:hAnsi="Times New Roman"/>
                <w:color w:val="000000"/>
                <w:sz w:val="19"/>
              </w:rPr>
              <w:t>RNTX</w:t>
            </w:r>
          </w:p>
        </w:tc>
        <w:tc>
          <w:tcPr>
            <w:tcW w:w="3706" w:type="dxa"/>
            <w:tcBorders>
              <w:bottom w:val="single" w:sz="4" w:space="0" w:color="000000"/>
              <w:right w:val="single" w:sz="4" w:space="0" w:color="000000"/>
            </w:tcBorders>
            <w:tcMar>
              <w:top w:w="0" w:type="dxa"/>
              <w:left w:w="0" w:type="dxa"/>
            </w:tcMar>
            <w:vAlign w:val="center"/>
          </w:tcPr>
          <w:p>
            <w:pPr>
              <w:pStyle w:val="TableContents"/>
              <w:bidi w:val="0"/>
              <w:spacing w:before="40" w:after="283"/>
              <w:jc w:val="center"/>
              <w:rPr>
                <w:rFonts w:ascii="Times New Roman" w:hAnsi="Times New Roman"/>
                <w:sz w:val="20"/>
              </w:rPr>
            </w:pPr>
            <w:r>
              <w:rPr>
                <w:rFonts w:ascii="Times New Roman" w:hAnsi="Times New Roman"/>
                <w:color w:val="000000"/>
                <w:sz w:val="19"/>
              </w:rPr>
              <w:t>The Nasdaq</w:t>
            </w:r>
            <w:r>
              <w:rPr>
                <w:rFonts w:ascii="Times New Roman" w:hAnsi="Times New Roman"/>
                <w:color w:val="000000"/>
                <w:sz w:val="20"/>
              </w:rPr>
              <w:t> </w:t>
            </w:r>
            <w:r>
              <w:rPr>
                <w:rFonts w:ascii="Times New Roman" w:hAnsi="Times New Roman"/>
                <w:color w:val="000000"/>
                <w:sz w:val="19"/>
              </w:rPr>
              <w:t>Capital Market</w:t>
            </w:r>
          </w:p>
        </w:tc>
      </w:tr>
    </w:tbl>
    <w:p>
      <w:pPr>
        <w:pStyle w:val="TextBody"/>
        <w:bidi w:val="0"/>
        <w:spacing w:before="120" w:after="283"/>
        <w:jc w:val="left"/>
        <w:rPr>
          <w:rFonts w:ascii="Times New Roman" w:hAnsi="Times New Roman"/>
          <w:sz w:val="20"/>
        </w:rPr>
      </w:pPr>
      <w:r>
        <w:rPr>
          <w:rFonts w:ascii="Times New Roman" w:hAnsi="Times New Roman"/>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9"/>
        </w:rPr>
        <w:t>No ☐</w:t>
      </w:r>
    </w:p>
    <w:p>
      <w:pPr>
        <w:pStyle w:val="TextBody"/>
        <w:bidi w:val="0"/>
        <w:spacing w:before="120" w:after="283"/>
        <w:jc w:val="left"/>
        <w:rPr>
          <w:rFonts w:ascii="Times New Roman" w:hAnsi="Times New Roman"/>
          <w:sz w:val="20"/>
        </w:rPr>
      </w:pPr>
      <w:r>
        <w:rPr>
          <w:rFonts w:ascii="Times New Roman" w:hAnsi="Times New Roman"/>
          <w:color w:val="000000"/>
          <w:sz w:val="19"/>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9"/>
        </w:rPr>
        <w:t>No ☐</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236" w:type="dxa"/>
        <w:jc w:val="left"/>
        <w:tblInd w:w="0" w:type="dxa"/>
        <w:tblLayout w:type="fixed"/>
        <w:tblCellMar>
          <w:top w:w="28" w:type="dxa"/>
          <w:left w:w="28" w:type="dxa"/>
          <w:bottom w:w="28" w:type="dxa"/>
          <w:right w:w="28" w:type="dxa"/>
        </w:tblCellMar>
      </w:tblPr>
      <w:tblGrid>
        <w:gridCol w:w="1921"/>
        <w:gridCol w:w="109"/>
        <w:gridCol w:w="316"/>
        <w:gridCol w:w="109"/>
        <w:gridCol w:w="2311"/>
        <w:gridCol w:w="109"/>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42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2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7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Smaller reporting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42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2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7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sz w:val="20"/>
        </w:rPr>
      </w:pPr>
      <w:r>
        <w:rPr>
          <w:rFonts w:ascii="Times New Roman" w:hAnsi="Times New Roman"/>
          <w:color w:val="000000"/>
          <w:sz w:val="19"/>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9"/>
        </w:rPr>
        <w:t>As of August 12, 2026, the registrant had 86,267,032</w:t>
      </w:r>
      <w:r>
        <w:rPr>
          <w:rFonts w:ascii="Times New Roman" w:hAnsi="Times New Roman"/>
          <w:color w:val="000000"/>
          <w:sz w:val="20"/>
        </w:rPr>
        <w:t xml:space="preserve"> </w:t>
      </w:r>
      <w:r>
        <w:rPr>
          <w:rFonts w:ascii="Times New Roman" w:hAnsi="Times New Roman"/>
          <w:color w:val="000000"/>
          <w:sz w:val="19"/>
        </w:rPr>
        <w:t>shares of common stock, $0.001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59"/>
        <w:gridCol w:w="346"/>
        <w:gridCol w:w="8088"/>
        <w:gridCol w:w="146"/>
        <w:gridCol w:w="566"/>
      </w:tblGrid>
      <w:tr>
        <w:trPr/>
        <w:tc>
          <w:tcPr>
            <w:tcW w:w="105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0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10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bottom w:val="single" w:sz="8" w:space="0" w:color="000000"/>
            </w:tcBorders>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Page</w:t>
            </w:r>
          </w:p>
        </w:tc>
      </w:tr>
      <w:tr>
        <w:trPr/>
        <w:tc>
          <w:tcPr>
            <w:tcW w:w="1059"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PART I.</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808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part_ifinancial_information">
              <w:r>
                <w:rPr>
                  <w:rStyle w:val="InternetLink"/>
                  <w:rFonts w:ascii="Times New Roman" w:hAnsi="Times New Roman"/>
                  <w:b/>
                  <w:color w:val="000000"/>
                  <w:sz w:val="20"/>
                </w:rPr>
                <w:t>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w:t>
            </w:r>
          </w:p>
        </w:tc>
      </w:tr>
      <w:tr>
        <w:trPr/>
        <w:tc>
          <w:tcPr>
            <w:tcW w:w="1059"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Item 1.</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808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1_financial_statements">
              <w:r>
                <w:rPr>
                  <w:rStyle w:val="InternetLink"/>
                  <w:rFonts w:ascii="Times New Roman" w:hAnsi="Times New Roman"/>
                  <w:color w:val="000000"/>
                  <w:sz w:val="20"/>
                </w:rPr>
                <w:t>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1059"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808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condensed_balance_sheets_unaudited">
              <w:r>
                <w:rPr>
                  <w:rStyle w:val="InternetLink"/>
                  <w:rFonts w:ascii="Times New Roman" w:hAnsi="Times New Roman"/>
                  <w:color w:val="000000"/>
                  <w:sz w:val="20"/>
                </w:rPr>
                <w:t>Condensed Consolidated Balance Sheets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1059"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808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condensed_statements_operations_comprehe">
              <w:r>
                <w:rPr>
                  <w:rStyle w:val="InternetLink"/>
                  <w:rFonts w:ascii="Times New Roman" w:hAnsi="Times New Roman"/>
                  <w:color w:val="000000"/>
                  <w:sz w:val="20"/>
                </w:rPr>
                <w:t>Condensed Consolidated Statements of Operations and Comprehensive Loss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1059"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08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condensed_statements_equity">
              <w:r>
                <w:rPr>
                  <w:rStyle w:val="InternetLink"/>
                  <w:rFonts w:ascii="Times New Roman" w:hAnsi="Times New Roman"/>
                  <w:color w:val="000000"/>
                  <w:sz w:val="20"/>
                </w:rPr>
                <w:t>Condensed Consolidated Statements of Changes in Convertible Preferred Stock and Stockholders’ Equity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1059"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808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condensed_statements_cash_flows_unaudite">
              <w:r>
                <w:rPr>
                  <w:rStyle w:val="InternetLink"/>
                  <w:rFonts w:ascii="Times New Roman" w:hAnsi="Times New Roman"/>
                  <w:color w:val="000000"/>
                  <w:sz w:val="20"/>
                </w:rPr>
                <w:t>Condensed Consolidated Statements of Cash Flows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1059"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08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fis_notes_to_financial_statement">
              <w:r>
                <w:rPr>
                  <w:rStyle w:val="InternetLink"/>
                  <w:rFonts w:ascii="Times New Roman" w:hAnsi="Times New Roman"/>
                  <w:color w:val="000000"/>
                  <w:sz w:val="20"/>
                </w:rPr>
                <w:t>Notes to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w:t>
            </w:r>
          </w:p>
        </w:tc>
      </w:tr>
      <w:tr>
        <w:trPr/>
        <w:tc>
          <w:tcPr>
            <w:tcW w:w="1059"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Item 2.</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808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2_managements_discussion_analysis_f">
              <w:r>
                <w:rPr>
                  <w:rStyle w:val="InternetLink"/>
                  <w:rFonts w:ascii="Times New Roman" w:hAnsi="Times New Roman"/>
                  <w:color w:val="000000"/>
                  <w:sz w:val="20"/>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25</w:t>
            </w:r>
          </w:p>
        </w:tc>
      </w:tr>
      <w:tr>
        <w:trPr/>
        <w:tc>
          <w:tcPr>
            <w:tcW w:w="1059"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Item 3.</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808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3_quantitative_qualitative_disclosu">
              <w:r>
                <w:rPr>
                  <w:rStyle w:val="InternetLink"/>
                  <w:rFonts w:ascii="Times New Roman" w:hAnsi="Times New Roman"/>
                  <w:color w:val="000000"/>
                  <w:sz w:val="20"/>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31</w:t>
            </w:r>
          </w:p>
        </w:tc>
      </w:tr>
      <w:tr>
        <w:trPr/>
        <w:tc>
          <w:tcPr>
            <w:tcW w:w="1059"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Item 4.</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808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4_controls_procedures">
              <w:r>
                <w:rPr>
                  <w:rStyle w:val="InternetLink"/>
                  <w:rFonts w:ascii="Times New Roman" w:hAnsi="Times New Roman"/>
                  <w:color w:val="000000"/>
                  <w:sz w:val="20"/>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31</w:t>
            </w:r>
          </w:p>
        </w:tc>
      </w:tr>
      <w:tr>
        <w:trPr/>
        <w:tc>
          <w:tcPr>
            <w:tcW w:w="1059"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PART II.</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808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part_iior_information">
              <w:r>
                <w:rPr>
                  <w:rStyle w:val="InternetLink"/>
                  <w:rFonts w:ascii="Times New Roman" w:hAnsi="Times New Roman"/>
                  <w:b/>
                  <w:color w:val="000000"/>
                  <w:sz w:val="20"/>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33</w:t>
            </w:r>
          </w:p>
        </w:tc>
      </w:tr>
      <w:tr>
        <w:trPr/>
        <w:tc>
          <w:tcPr>
            <w:tcW w:w="1059"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Item 1A.</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808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1a_risk_factors">
              <w:r>
                <w:rPr>
                  <w:rStyle w:val="InternetLink"/>
                  <w:rFonts w:ascii="Times New Roman" w:hAnsi="Times New Roman"/>
                  <w:color w:val="000000"/>
                  <w:sz w:val="20"/>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33</w:t>
            </w:r>
          </w:p>
        </w:tc>
      </w:tr>
      <w:tr>
        <w:trPr/>
        <w:tc>
          <w:tcPr>
            <w:tcW w:w="1059"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Item 5.</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08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5_other_information">
              <w:r>
                <w:rPr>
                  <w:rStyle w:val="InternetLink"/>
                  <w:rFonts w:ascii="Times New Roman" w:hAnsi="Times New Roman"/>
                  <w:color w:val="000000"/>
                  <w:sz w:val="20"/>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33</w:t>
            </w:r>
          </w:p>
        </w:tc>
      </w:tr>
      <w:tr>
        <w:trPr/>
        <w:tc>
          <w:tcPr>
            <w:tcW w:w="1059"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Item 6.</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808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6_exhibits">
              <w:r>
                <w:rPr>
                  <w:rStyle w:val="InternetLink"/>
                  <w:rFonts w:ascii="Times New Roman" w:hAnsi="Times New Roman"/>
                  <w:color w:val="000000"/>
                  <w:sz w:val="20"/>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1059"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8088"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signatures">
              <w:r>
                <w:rPr>
                  <w:rStyle w:val="InternetLink"/>
                  <w:rFonts w:ascii="Times New Roman" w:hAnsi="Times New Roman"/>
                  <w:color w:val="000000"/>
                  <w:sz w:val="20"/>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CAUTIONARY NOTE REGARDING FORWARD-LOOKING STATEMENTS AND INDUSTRY DATA</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Quarterly Report on Form 10-Q of Rein Therapeutics, Inc. (“Rein,” “we,” “us,” “our,” or the “Company”)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 projected costs, prospects, plans and objectives of management and expected market growth are forward-looking statements. The words “anticipate,” “believe,” “continue,” “could,” “estimate,” “expect,” “intend,” “may,” “plan,” “potential,” “predict,” “project,” “should,” “target,” “would,” and similar expressions are intended to identify forward-looking statements, although not all forward-looking statements contain these identifying words.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These forward-looking statements include, among other things, statements about: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plans to develop and commercialize LTI-03, including the potential benefits thereof;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expectations regarding our ability to fund our operating expenses, our planned activities, and capital expenditure requirements with our cash, cash equivalents and investments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Phase 2 clinical trial of LTI-03 and our ability to complete such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decision to further delay clinical development of LTI-01 for an undetermined period of time until additional funds are raised;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unproven approach to drug research and development in the area of fibrotic diseases, with a focus on Caveolin-1, or Cav1, related peptides, and our ability to develop marketable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future clinical trials for LTI-03, whether conducted by us or by any future collaborators, including our ability to enroll patients in our clinical trials, the timing of initiation of these trials and of the anticipated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success of our remediation efforts related to the material weaknesses identified in our internal controls over financial reporting;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of and our ability to obtain and maintain marketing approvals for LTI-03;</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rate and degree of market acceptance and clinical utility of any products for which we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commercialization, marketing and manufacturing capabilities and strategy;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intellectual property position and strategy, and our ability to obtain, maintain and enforce intellectual property rights for our platform and development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identify additional product candidates with significant commercial potential;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plans to enter into collaborations for the development and commercialization of LTI-03, LTI-01 and any additional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reliance on third-party manufacturing and supply vendors and contract research organizations, or CROs;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benefits of any future collaboration;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developments relating to our competitors and our industry;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impact of general economic conditions, including inflation and the imposition of new or revised tariffs or other trade restrictions;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government laws and regulations.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our Annual Report on Form 10-K, or the Annual Report, filed with the SEC on March 26, 2026 and subsequently filed reports, particularly in the “Risk Factors” section, which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 or enter into.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You should read this Quarterly Report and the documents that we reference herein and have filed or incorporated by reference hereto completely and with the understanding that our actual future results may be materially different from what we expect. We do 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assume any obligation to update any forward-looking statements, whether as a result of new information, future events or otherwise, except as required by law.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Quarterly Report on Form 10-Q includes or incorporates by reference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Effective on January 10, 2025, we amended our Restated Certificate of Incorporation, as amended, to effect a change in our name from “Aileron Therapeutics, Inc.” to “Rein Therapeutics, Inc.” Unless the context otherwise requires, references in this Quarterly Report on Form 10-Q to “we,” “us,” “our” and the “Company” refer to Rein Therapeutics, Inc. and its wholly owned subsidiaries.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financial_information"/>
      <w:bookmarkEnd w:id="2"/>
      <w:r>
        <w:rPr>
          <w:rFonts w:ascii="Times New Roman" w:hAnsi="Times New Roman"/>
          <w:color w:val="000000"/>
          <w:sz w:val="20"/>
        </w:rPr>
        <w:br/>
      </w:r>
      <w:r>
        <w:rPr>
          <w:rFonts w:ascii="Times New Roman" w:hAnsi="Times New Roman"/>
          <w:b/>
          <w:color w:val="000000"/>
          <w:sz w:val="20"/>
        </w:rPr>
        <w:t>PART I—FINANCIAL INFORMATION</w:t>
      </w:r>
    </w:p>
    <w:p>
      <w:pPr>
        <w:pStyle w:val="TextBody"/>
        <w:bidi w:val="0"/>
        <w:spacing w:before="240" w:after="283"/>
        <w:jc w:val="left"/>
        <w:rPr>
          <w:rFonts w:ascii="Times New Roman" w:hAnsi="Times New Roman"/>
          <w:sz w:val="20"/>
        </w:rPr>
      </w:pPr>
      <w:bookmarkStart w:id="3" w:name="item_1_financial_statements"/>
      <w:bookmarkEnd w:id="3"/>
      <w:r>
        <w:rPr>
          <w:rFonts w:ascii="Times New Roman" w:hAnsi="Times New Roman"/>
          <w:b/>
          <w:color w:val="000000"/>
          <w:sz w:val="20"/>
        </w:rPr>
        <w:t>Item 1.</w:t>
      </w:r>
      <w:r>
        <w:rPr>
          <w:rFonts w:ascii="Times New Roman" w:hAnsi="Times New Roman"/>
          <w:color w:val="000000"/>
          <w:sz w:val="20"/>
        </w:rPr>
        <w:t xml:space="preserve"> </w:t>
      </w:r>
      <w:r>
        <w:rPr>
          <w:rFonts w:ascii="Times New Roman" w:hAnsi="Times New Roman"/>
          <w:b/>
          <w:color w:val="000000"/>
          <w:sz w:val="20"/>
        </w:rPr>
        <w:t>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REIN THERAPEUTICS, INC.</w:t>
      </w:r>
    </w:p>
    <w:p>
      <w:pPr>
        <w:pStyle w:val="TextBody"/>
        <w:bidi w:val="0"/>
        <w:jc w:val="center"/>
        <w:rPr>
          <w:rFonts w:ascii="Times New Roman" w:hAnsi="Times New Roman"/>
          <w:sz w:val="20"/>
        </w:rPr>
      </w:pPr>
      <w:bookmarkStart w:id="4" w:name="condensed_balance_sheets_unaudited"/>
      <w:bookmarkEnd w:id="4"/>
      <w:r>
        <w:rPr>
          <w:rFonts w:ascii="Times New Roman" w:hAnsi="Times New Roman"/>
          <w:b/>
          <w:caps/>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19"/>
        <w:gridCol w:w="146"/>
        <w:gridCol w:w="211"/>
        <w:gridCol w:w="841"/>
        <w:gridCol w:w="166"/>
        <w:gridCol w:w="146"/>
        <w:gridCol w:w="213"/>
        <w:gridCol w:w="851"/>
        <w:gridCol w:w="612"/>
      </w:tblGrid>
      <w:tr>
        <w:trPr/>
        <w:tc>
          <w:tcPr>
            <w:tcW w:w="70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70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3,215</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4,326</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6,330</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13,500</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24,158</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Convertible Preferred Stock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3,976</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6,180</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7,240</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preferred stock, $0.001 par value, 5,000,000 shares authorized at June 30, 2026 and at December 31, 2025; 24,610 shares issued and 12,232 shares outstanding at June 30, 2026 and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45,005</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100,000,000 shares authorized at June 30, 2026 and at December 31, 2025; 85,767,032 shares and 27,550,222 shares issued and outstanding at June 30, 2026 and at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373,133</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(413,484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(401,271</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1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convertible preferred stock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24,158</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REIN THERAPEUTICS, INC.</w:t>
      </w:r>
    </w:p>
    <w:p>
      <w:pPr>
        <w:pStyle w:val="TextBody"/>
        <w:bidi w:val="0"/>
        <w:jc w:val="center"/>
        <w:rPr>
          <w:rFonts w:ascii="Times New Roman" w:hAnsi="Times New Roman"/>
          <w:sz w:val="20"/>
        </w:rPr>
      </w:pPr>
      <w:bookmarkStart w:id="5" w:name="condensed_statements_operations_comprehe"/>
      <w:bookmarkEnd w:id="5"/>
      <w:r>
        <w:rPr>
          <w:rFonts w:ascii="Times New Roman" w:hAnsi="Times New Roman"/>
          <w:b/>
          <w:caps/>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44"/>
        <w:gridCol w:w="546"/>
        <w:gridCol w:w="211"/>
        <w:gridCol w:w="1036"/>
        <w:gridCol w:w="166"/>
        <w:gridCol w:w="146"/>
        <w:gridCol w:w="211"/>
        <w:gridCol w:w="1036"/>
        <w:gridCol w:w="566"/>
        <w:gridCol w:w="546"/>
        <w:gridCol w:w="211"/>
        <w:gridCol w:w="1036"/>
        <w:gridCol w:w="166"/>
        <w:gridCol w:w="146"/>
        <w:gridCol w:w="211"/>
        <w:gridCol w:w="1036"/>
        <w:gridCol w:w="591"/>
      </w:tblGrid>
      <w:tr>
        <w:trPr/>
        <w:tc>
          <w:tcPr>
            <w:tcW w:w="23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3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3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6,871</w:t>
            </w:r>
          </w:p>
        </w:tc>
        <w:tc>
          <w:tcPr>
            <w:tcW w:w="56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12,480</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(6,871</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(6,822</w:t>
            </w:r>
          </w:p>
        </w:tc>
        <w:tc>
          <w:tcPr>
            <w:tcW w:w="5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(12,323</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share—basic and diluted</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outstanding—basic and diluted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67,084,661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24,187,536</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48,821,118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23,057,920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(6,822</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gain on investments, net of tax of $0</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3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comprehensive loss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(6,834</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REIN THERAPEUTICS, INC.</w:t>
      </w:r>
    </w:p>
    <w:p>
      <w:pPr>
        <w:pStyle w:val="TextBody"/>
        <w:bidi w:val="0"/>
        <w:jc w:val="center"/>
        <w:rPr>
          <w:rFonts w:ascii="Times New Roman" w:hAnsi="Times New Roman"/>
          <w:sz w:val="20"/>
        </w:rPr>
      </w:pPr>
      <w:bookmarkStart w:id="6" w:name="condensed_statements_equity"/>
      <w:bookmarkEnd w:id="6"/>
      <w:r>
        <w:rPr>
          <w:rFonts w:ascii="Times New Roman" w:hAnsi="Times New Roman"/>
          <w:b/>
          <w:caps/>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STATEMENT OF CHANGES</w:t>
      </w:r>
      <w:r>
        <w:rPr>
          <w:rFonts w:ascii="Times New Roman" w:hAnsi="Times New Roman"/>
          <w:color w:val="000000"/>
          <w:sz w:val="20"/>
        </w:rPr>
        <w:t xml:space="preserve"> </w:t>
      </w:r>
      <w:r>
        <w:rPr>
          <w:rFonts w:ascii="Times New Roman" w:hAnsi="Times New Roman"/>
          <w:b/>
          <w:color w:val="000000"/>
          <w:sz w:val="20"/>
        </w:rPr>
        <w:t>IN CONVERTIBLE PREFERRED STOCK AND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left"/>
        <w:rPr/>
      </w:pPr>
      <w:r>
        <w:rPr/>
        <w:t> </w:t>
      </w:r>
    </w:p>
    <w:tbl>
      <w:tblPr>
        <w:tblW w:w="10720" w:type="dxa"/>
        <w:jc w:val="left"/>
        <w:tblInd w:w="0" w:type="dxa"/>
        <w:tblLayout w:type="fixed"/>
        <w:tblCellMar>
          <w:top w:w="28" w:type="dxa"/>
          <w:left w:w="28" w:type="dxa"/>
          <w:bottom w:w="28" w:type="dxa"/>
          <w:right w:w="28" w:type="dxa"/>
        </w:tblCellMar>
      </w:tblPr>
      <w:tblGrid>
        <w:gridCol w:w="1081"/>
        <w:gridCol w:w="146"/>
        <w:gridCol w:w="146"/>
        <w:gridCol w:w="601"/>
        <w:gridCol w:w="146"/>
        <w:gridCol w:w="146"/>
        <w:gridCol w:w="196"/>
        <w:gridCol w:w="601"/>
        <w:gridCol w:w="146"/>
        <w:gridCol w:w="146"/>
        <w:gridCol w:w="146"/>
        <w:gridCol w:w="916"/>
        <w:gridCol w:w="166"/>
        <w:gridCol w:w="146"/>
        <w:gridCol w:w="216"/>
        <w:gridCol w:w="415"/>
        <w:gridCol w:w="146"/>
        <w:gridCol w:w="146"/>
        <w:gridCol w:w="196"/>
        <w:gridCol w:w="691"/>
        <w:gridCol w:w="166"/>
        <w:gridCol w:w="146"/>
        <w:gridCol w:w="396"/>
        <w:gridCol w:w="700"/>
        <w:gridCol w:w="166"/>
        <w:gridCol w:w="146"/>
        <w:gridCol w:w="196"/>
        <w:gridCol w:w="751"/>
        <w:gridCol w:w="166"/>
        <w:gridCol w:w="146"/>
        <w:gridCol w:w="305"/>
        <w:gridCol w:w="686"/>
        <w:gridCol w:w="21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Series X Non-Voting Convertible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20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 Convertible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Additional </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 xml:space="preserve">Other </w:t>
              <w:b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Preferred Stock and 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27,550,222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373,133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(401,271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16,918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net of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488,810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(5,838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28,039,032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373,643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(407,109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11,591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net of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57,728,000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85,767,032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423,580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(413,484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55,204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21,666,012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360,697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(351,400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54,392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net of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317,772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22,005,317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361,699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(356,901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49,879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net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warrant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1,035,758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 exchanges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to be Issued upon exercises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issuance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gain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00000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23,046,121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366,644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(363,723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48,013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REIN THERAPEUTICS, INC.</w:t>
      </w:r>
    </w:p>
    <w:p>
      <w:pPr>
        <w:pStyle w:val="TextBody"/>
        <w:bidi w:val="0"/>
        <w:jc w:val="center"/>
        <w:rPr>
          <w:rFonts w:ascii="Times New Roman" w:hAnsi="Times New Roman"/>
          <w:sz w:val="20"/>
        </w:rPr>
      </w:pPr>
      <w:bookmarkStart w:id="7" w:name="condensed_statements_cash_flows_unaudite"/>
      <w:bookmarkEnd w:id="7"/>
      <w:r>
        <w:rPr>
          <w:rFonts w:ascii="Times New Roman" w:hAnsi="Times New Roman"/>
          <w:b/>
          <w:caps/>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STATEMENTS OF</w:t>
      </w:r>
      <w:r>
        <w:rPr>
          <w:rFonts w:ascii="Times New Roman" w:hAnsi="Times New Roman"/>
          <w:color w:val="000000"/>
          <w:sz w:val="20"/>
        </w:rPr>
        <w:t xml:space="preserve"> </w:t>
      </w:r>
      <w:r>
        <w:rPr>
          <w:rFonts w:ascii="Times New Roman" w:hAnsi="Times New Roman"/>
          <w:b/>
          <w:color w:val="000000"/>
          <w:sz w:val="20"/>
        </w:rPr>
        <w:t>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 thousands)</w:t>
      </w:r>
    </w:p>
    <w:tbl>
      <w:tblPr>
        <w:tblW w:w="8921" w:type="dxa"/>
        <w:jc w:val="left"/>
        <w:tblInd w:w="0" w:type="dxa"/>
        <w:tblLayout w:type="fixed"/>
        <w:tblCellMar>
          <w:top w:w="28" w:type="dxa"/>
          <w:left w:w="28" w:type="dxa"/>
          <w:bottom w:w="28" w:type="dxa"/>
          <w:right w:w="28" w:type="dxa"/>
        </w:tblCellMar>
      </w:tblPr>
      <w:tblGrid>
        <w:gridCol w:w="6096"/>
        <w:gridCol w:w="146"/>
        <w:gridCol w:w="200"/>
        <w:gridCol w:w="675"/>
        <w:gridCol w:w="169"/>
        <w:gridCol w:w="149"/>
        <w:gridCol w:w="200"/>
        <w:gridCol w:w="675"/>
        <w:gridCol w:w="611"/>
      </w:tblGrid>
      <w:tr>
        <w:trPr/>
        <w:tc>
          <w:tcPr>
            <w:tcW w:w="6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(12,213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(12,323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amortization of discount on notes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warrant issuance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Changes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Accretion of discount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5,117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(12,064</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(12,593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(32,094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(2,979</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(35,073</w:t>
            </w:r>
          </w:p>
        </w:tc>
        <w:tc>
          <w:tcPr>
            <w:tcW w:w="16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issuance of common stock, net of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53,544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notes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Repayment of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issuance of common stock in connection with 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issuance of common stock in connection with warrant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issuance of warrants, net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warrant exchanges, net of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warrant exercises with common stock subscribed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52,469</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5,450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Effect of exchange rate changes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(7,143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3,215</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12,865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8,542</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5,722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Initial recognition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Allocate net value of warrants issued in connection with the May 2026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(3,263</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 issuance cost recognized as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REIN THERAPEUTICS, INC.</w:t>
      </w:r>
    </w:p>
    <w:p>
      <w:pPr>
        <w:pStyle w:val="TextBody"/>
        <w:bidi w:val="0"/>
        <w:jc w:val="center"/>
        <w:rPr>
          <w:rFonts w:ascii="Times New Roman" w:hAnsi="Times New Roman"/>
          <w:b/>
          <w:color w:val="000000"/>
          <w:sz w:val="20"/>
        </w:rPr>
      </w:pPr>
      <w:bookmarkStart w:id="8" w:name="fis_notes_to_financial_statement"/>
      <w:bookmarkEnd w:id="8"/>
      <w:r>
        <w:rPr>
          <w:rFonts w:ascii="Times New Roman" w:hAnsi="Times New Roman"/>
          <w:b/>
          <w:color w:val="000000"/>
          <w:sz w:val="20"/>
        </w:rPr>
        <w:t>NOTES TO CONDENSED CONSOLIDATED FINANCIAL STATEMENTS (UNAUDITED)</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(Amounts in thousands, except share and per share data)</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 Nature of the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Rein Therapeutics, Inc. (“Company”) is a Delaware corporation formed in August 2001 under the name Renegade Therapeutics, Inc. In February 2007, the Company changed its name to Aileron Therapeutics, Inc. and in January 2025 changed its name to Rein Therapeutics, Inc. The Company is a clinical stage biopharmaceutical company focused on developing novel therapies for the treatment of fibrosis indications with no approved or limited effective treatments. The Company currently has one product candidate in clinical development, LTI-03.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is a clinical-stage biotechnology company subject to significant risks and uncertainties, including the need for substantial additional financing, reliance on third parties, clinical trial risks, dependence on key personnel, protection of proprietary technology, and compliance with regulatory requirements. Its lead product candidate, LTI-03, is being developed for the treatment of idiopathic pulmonary fibrosis (IPF) and has completed Phase 1a and Phase 1b clinical trials; the Company is currently conducting the Phase 2 RENEW trial, a multi-center, randomized, double-blind, placebo-controlled study expected to enroll approximately 120 patients across multiple global sites, with interim data anticipated in the fourth quarter of 2026. The Company initiated patient screening in May 2025, received regulatory clearances in Europe and the United Kingdom, and dosed its first patient in March 2026. The Company’s second product candidate, LTI-01, previously in development for loculated pleural effusion, has been paused indefinitely as the Company prioritizes resources toward LTI-03, and the timing of any potential resumption remains uncertain and dependent on additional financing and the success of LTI-03.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 May 2026, the Company completed an underwritten public offering of 57,500,000 shares of its common stock at a public offering price of $1.00 per share, or the May 2026 Offering. Aggregate gross proceeds from the May 2026 Offering were $57,500, and net proceeds to the Company were approximately $53,099 after deducting underwriting discounts, commissions, and offering expenses of approximately $4,401.</w:t>
      </w:r>
    </w:p>
    <w:p>
      <w:pPr>
        <w:pStyle w:val="TextBody"/>
        <w:bidi w:val="0"/>
        <w:jc w:val="both"/>
        <w:rPr>
          <w:rFonts w:ascii="Times New Roman" w:hAnsi="Times New Roman"/>
          <w:color w:val="000000"/>
          <w:sz w:val="20"/>
        </w:rPr>
      </w:pPr>
      <w:r>
        <w:rPr>
          <w:rFonts w:ascii="Times New Roman" w:hAnsi="Times New Roman"/>
          <w:color w:val="000000"/>
          <w:sz w:val="20"/>
        </w:rPr>
        <w:t>Management believes that, based on the Company’s current operating plan, the Company’s cash, cash equivalents and investments of $43,627 as of June 30, 2026 will be sufficient to enable the Company to fund its planned operating expense and capital expenditure requirements into the first quarter of 2028. The Company believes that the funds are sufficient to enable the Company to complete the Phase 2 RENEW clinical trial of LTI-03. The Company’s estimate as to how long it expects its existing cash, cash equivalents and investments to be able to continue to fund its operations is based on assumptions that may prove to be wrong, and the Company could use its available capital resources sooner than it currently expects.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Since its inception, the Company has not generated any revenue from product sales and has never generated an operating profit. The Company has incurred significant losses on an aggregate basis. The Company’s net losses were $12,213 and $12,323 for the six months ended June 30, 2026 and 2025, respectively. As of June 30, 2026, the Company had an accumulated deficit of $413,484. These losses have resulted primarily from costs incurred in connection with research and development activities, licensing and patent investment and general and administrative costs associated with the Company’s operations. The Company expects to continue to incur operating losses for the foreseeable future. The Company expects to finance its operations primarily through utilization of its current financial resources and through the sale of additional equity or debt financings, collaborations, licensing arrangements or other sources.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could use its available capital resources sooner than it currently expects. The Company’s future viability is dependent on its ability to raise additional capital, enter into a financing, consummate a successful acquisition, merger, business combination, or a sale of assets or other transaction. If the Company becomes unable to continue as a going concern, it may have to liquidate its assets and the values it receives for its assets in liquidation or dissolution could be significantly lower than the values reflected in its consolidated financial statements.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have been prepared in conformity with accounting principles generally accepted in the United States of America, or U.S. GAAP. Any reference in these notes to applicable guidance is meant to refer to the authoritative GAAP as found in the Accounting Standards Codification, or ASC, and as amended by ASUs of the Financial Accounting Standards Board, or FASB. </w:t>
      </w:r>
    </w:p>
    <w:p>
      <w:pPr>
        <w:pStyle w:val="TextBody"/>
        <w:bidi w:val="0"/>
        <w:spacing w:before="120" w:after="283"/>
        <w:jc w:val="both"/>
        <w:rPr>
          <w:rFonts w:ascii="Times New Roman" w:hAnsi="Times New Roman"/>
          <w:sz w:val="20"/>
        </w:rPr>
      </w:pPr>
      <w:r>
        <w:rPr>
          <w:rFonts w:ascii="Times New Roman" w:hAnsi="Times New Roman"/>
          <w:b/>
          <w:i/>
          <w:color w:val="000000"/>
          <w:sz w:val="20"/>
        </w:rPr>
        <w:t>Principles of Consolidation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include the accounts of the Company and its wholly owned subsidiaries, Lung Therapeutics, LLC, Lung Therapeutics Australia Pty Ltd, and Lung Therapeutics Limited. Lung Therapeutics Limited is currently inactive. All intercompany balances and transactions have been eliminated in consolidation.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unaudited condensed consolidated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expenses during the reporting periods. Significant estimates and assumptions reflected in these consolidated financial statements include, but are not limited to, the accrual for research and development expenses, the prepaid research and development expenses, valuation of intangibles and goodwill, the valuation of warrants, and the value of stock-based compensation. Estimates are periodically reviewed in light of changes in circumstances, facts and experience. Changes in estimates are recorded in the period in which they become known. Actual results could differ from those estimates.</w:t>
      </w:r>
    </w:p>
    <w:p>
      <w:pPr>
        <w:pStyle w:val="TextBody"/>
        <w:bidi w:val="0"/>
        <w:spacing w:before="240" w:after="283"/>
        <w:jc w:val="both"/>
        <w:rPr>
          <w:rFonts w:ascii="Times New Roman" w:hAnsi="Times New Roman"/>
          <w:sz w:val="20"/>
        </w:rPr>
      </w:pPr>
      <w:r>
        <w:rPr>
          <w:rFonts w:ascii="Times New Roman" w:hAnsi="Times New Roman"/>
          <w:b/>
          <w:i/>
          <w:color w:val="000000"/>
          <w:sz w:val="20"/>
        </w:rPr>
        <w:t>Foreign Currency Transactions</w:t>
      </w:r>
      <w:r>
        <w:rPr>
          <w:rFonts w:ascii="Times New Roman" w:hAnsi="Times New Roman"/>
          <w:color w:val="000000"/>
          <w:sz w:val="20"/>
        </w:rPr>
        <w:t xml:space="preserve">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The functional currency for the Company’s wholly owned foreign subsidiary, Lung Therapeutics Australia Pty Ltd., is the United States dollar. All foreign currency transaction gains and losses are recognized in the consolidated statements of operations and comprehensive loss. </w:t>
      </w:r>
    </w:p>
    <w:p>
      <w:pPr>
        <w:pStyle w:val="TextBody"/>
        <w:bidi w:val="0"/>
        <w:jc w:val="both"/>
        <w:rPr>
          <w:rFonts w:ascii="Times New Roman" w:hAnsi="Times New Roman"/>
          <w:b/>
          <w:i/>
          <w:color w:val="000000"/>
          <w:sz w:val="20"/>
        </w:rPr>
      </w:pPr>
      <w:r>
        <w:rPr>
          <w:rFonts w:ascii="Times New Roman" w:hAnsi="Times New Roman"/>
          <w:b/>
          <w:i/>
          <w:color w:val="000000"/>
          <w:sz w:val="20"/>
        </w:rPr>
        <w:t>Unaudited Interim Financial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as of June 30, 2026 and for the three and six months ended June 30, 2026 and 2025 have been prepared by the Company pursuant to the rules and regulations of the United States Securities and Exchange Commission, or the SEC, for interim financial statements. Certain information and footnote disclosures normally included in financial statements prepared in accordance with GAAP have been condensed or omitted pursuant to such rules and regulations. However, the Company believes that the disclosures are adequate to make the information presented not misleading. These financial statements should be read in conjunction with the Company’s audited consolidated financial statements and the notes thereto included in the Company’s Annual Report for the year ended December 31, 2025 that was filed with the SEC on March 26, 2026 (the “Annual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unaudited interim condensed consolidated financial statements have been prepared on the same basis as the audited consolidated financial statements and, in the opinion of management, reflect all adjustments, which include only normal recurring adjustments, necessary for the fair statement of the Company’s financial position as of June 30, 2026, the results of its operations for the three and six months ended June 30, 2026 and 2025 and its cash flows for the six months ended June 30, 2026 and 2025. The financial data and other information disclosed in these notes related to the three and six months ended June 30, 2026 and 2025 are unaudited. The results for the six months ended June 30, 2026 are not necessarily indicative of results to be expected for the year ending December 31, 2026, any other interim periods, or any future year or period. The accompanying balance sheet as of December 31, 2025 has been derived from the Company’s audited consolidated financial statements for the year ended December 31, 2025 included in the Company’s Annual Report.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Summary of Significant Accounting Policies</w:t>
      </w:r>
    </w:p>
    <w:p>
      <w:pPr>
        <w:pStyle w:val="TextBody"/>
        <w:bidi w:val="0"/>
        <w:spacing w:before="120" w:after="283"/>
        <w:jc w:val="both"/>
        <w:rPr>
          <w:rFonts w:ascii="Times New Roman" w:hAnsi="Times New Roman"/>
          <w:sz w:val="20"/>
        </w:rPr>
      </w:pPr>
      <w:r>
        <w:rPr>
          <w:rFonts w:ascii="Times New Roman" w:hAnsi="Times New Roman"/>
          <w:i/>
          <w:color w:val="000000"/>
          <w:sz w:val="20"/>
        </w:rPr>
        <w:t>Cash and Cash Equivalents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considers all short-term, highly liquid investments with original maturities of 90 days or less at the acquisition date to be cash equivalents. The Company’s cash equivalents are comprised of funds held in money market accounts and treasury bills account and are measured at fair value on a recurring basis.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Investments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Short-term and Long-term investments consist of U.S. government securities and certificates of deposit. The Company classifies its investments in securities as available-for-sale because, for accounting purposes, they are not considered to be either held-to-maturity securities or trading securities, as the sale of such securities may be required prior to maturity. They are not considered trading securities because they were not acquired with the intent of selling them within hours or days. The Company determines the appropriate classification of the investments at the time they are acquired and evaluates the appropriateness of such classifications at each balance sheet date. The Company classifies investments as short-term if they are available for use in current operations and have maturies of less than one year. The Company classifies investments with remaining maturities of one year or longer as long-term. Investments are carried at fair value with the unrealized gains and losses included in accumulated other comprehensive loss as a component of stockholders’ equity until realized. Realized gains and losses are determined using the specific identification method and are included in other expense, net. The Company regularly reviews its investments for declines in fair value below the amortized cost basis to determine whether the impairment, if any, is due to credit-related or other factors. This review includes the credit worthiness of the security issuers, the severity of the unrealized losses, whether the Company has the intent to sell the securities and whether it is more likely than not that the Company will be required to sell the securities before the recovery of the amortized cost basis. Unrealized gains and losses on available-for-sale debt securities are reported as a component of accumulated comprehensive loss, with the exception of unrealized losses believed to be related to credit losses, if any, which are recognized in earnings in the period the impairment occurs. Impairment assessments are made at the individual security level each reporting period. When the fair value of an available-for-sale debt investment is less than its cost at the balance sheet date, a determination is made as to whether the impairment is related to a credit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and, if it is, the portion of the impairment relating to credit loss is recorded as an allowance through net income. There were no impairments related to credit losses during any of the periods presented.</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Fair value Measurements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assets and liabilities are carried at fair value under GAAP. ASC 820, Fair Value Measurement, or ASC 820, establishes a fair value hierarchy for instruments measured at fair value that distinguishes between assumptions based on market data (observable inputs) and the Company’s own assumptions (unobservable inputs).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1—Quoted prices in active markets for identical assets or liabilities.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3—Unobservable inputs that are supported by little or no market activity and that are significant to determining the fair value of the assets or liabilities, including pricing models, discounted cash flow methodologies and similar techniques.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cash equivalents consist of investments in U.S. government securities and money market funds stated at carrying value, which approximates fair value and is based on quoted prices in active markets for identical securities. The Company classifies its investments in U.S. government securities as level 1 assets as these assets have been valued based on quoted prices for identical instruments in active markets and certificates of deposit as Level 2 assets as these assets are not traded in an active market and have been valued through a third-party pricing service based on quoted prices for similar instruments in active markets; quoted prices for identical or similar instruments in markets that are not active; or model-driven valuations whose inputs are observable or whose significant value drivers are observable.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other significant accounting policies are described in Note 2 to the consolidated financial statements included in the Annual Report.</w:t>
      </w:r>
    </w:p>
    <w:p>
      <w:pPr>
        <w:pStyle w:val="TextBody"/>
        <w:bidi w:val="0"/>
        <w:spacing w:before="120" w:after="160"/>
        <w:jc w:val="both"/>
        <w:rPr>
          <w:rFonts w:ascii="Times New Roman" w:hAnsi="Times New Roman"/>
          <w:b/>
          <w:i/>
          <w:color w:val="000000"/>
          <w:sz w:val="20"/>
        </w:rPr>
      </w:pPr>
      <w:r>
        <w:rPr>
          <w:rFonts w:ascii="Times New Roman" w:hAnsi="Times New Roman"/>
          <w:b/>
          <w:i/>
          <w:color w:val="000000"/>
          <w:sz w:val="20"/>
        </w:rPr>
        <w:t>Accounting Pronouncements Not Yet Adopted</w:t>
      </w:r>
    </w:p>
    <w:p>
      <w:pPr>
        <w:pStyle w:val="TextBody"/>
        <w:bidi w:val="0"/>
        <w:spacing w:before="0" w:after="160"/>
        <w:jc w:val="both"/>
        <w:rPr>
          <w:rFonts w:ascii="Times New Roman" w:hAnsi="Times New Roman"/>
          <w:sz w:val="20"/>
        </w:rPr>
      </w:pPr>
      <w:r>
        <w:rPr>
          <w:rFonts w:ascii="Times New Roman" w:hAnsi="Times New Roman"/>
          <w:color w:val="000000"/>
          <w:sz w:val="20"/>
        </w:rPr>
        <w:t xml:space="preserve">In December 2025, the FASB issued ASU 2025-12, </w:t>
      </w:r>
      <w:r>
        <w:rPr>
          <w:rFonts w:ascii="Times New Roman" w:hAnsi="Times New Roman"/>
          <w:i/>
          <w:color w:val="000000"/>
          <w:sz w:val="20"/>
        </w:rPr>
        <w:t>Codification Improvements</w:t>
      </w:r>
      <w:r>
        <w:rPr>
          <w:rFonts w:ascii="Times New Roman" w:hAnsi="Times New Roman"/>
          <w:color w:val="000000"/>
          <w:sz w:val="20"/>
        </w:rPr>
        <w:t>. The amendments include technical corrections, clarifications, and minor improvements to various Topics within the FASB ASC. The ASU is effective for annual reporting periods beginning after December 15, 2026, and interim periods within those annual reporting periods, with early adoption permitted. Adoption of this guidance is not expected to have a material impact on the Company’s condensed consolidated financial statements.</w:t>
      </w:r>
    </w:p>
    <w:p>
      <w:pPr>
        <w:pStyle w:val="TextBody"/>
        <w:bidi w:val="0"/>
        <w:spacing w:before="0" w:after="160"/>
        <w:jc w:val="both"/>
        <w:rPr>
          <w:rFonts w:ascii="Times New Roman" w:hAnsi="Times New Roman"/>
          <w:sz w:val="20"/>
        </w:rPr>
      </w:pPr>
      <w:r>
        <w:rPr>
          <w:rFonts w:ascii="Times New Roman" w:hAnsi="Times New Roman"/>
          <w:color w:val="000000"/>
          <w:sz w:val="20"/>
        </w:rPr>
        <w:t xml:space="preserve">In December 2025, the FASB issued ASU 2025-11, </w:t>
      </w:r>
      <w:r>
        <w:rPr>
          <w:rFonts w:ascii="Times New Roman" w:hAnsi="Times New Roman"/>
          <w:i/>
          <w:color w:val="000000"/>
          <w:sz w:val="20"/>
        </w:rPr>
        <w:t>Interim Reporting (Topic 270): Narrow-Scope Improvements</w:t>
      </w:r>
      <w:r>
        <w:rPr>
          <w:rFonts w:ascii="Times New Roman" w:hAnsi="Times New Roman"/>
          <w:color w:val="000000"/>
          <w:sz w:val="20"/>
        </w:rPr>
        <w:t>. The amendments clarify the application of interim reporting guidance, including when Topic 270 applies, and improve the consistency and usefulness of interim disclosures. The amendments are effective for interim reporting periods within annual reporting periods beginning after December 15, 2027, for public business entities and for interim reporting periods within annual reporting periods beginning after December 15, 2028, for entities other than public business entities. Early adoption is permitted for all entities. The Company is currently assessing the effect of this ASU on its condensed consolidated financial statements and related disclosures.</w:t>
      </w:r>
    </w:p>
    <w:p>
      <w:pPr>
        <w:pStyle w:val="TextBody"/>
        <w:bidi w:val="0"/>
        <w:spacing w:before="0" w:after="160"/>
        <w:jc w:val="both"/>
        <w:rPr>
          <w:rFonts w:ascii="Times New Roman" w:hAnsi="Times New Roman"/>
          <w:sz w:val="20"/>
        </w:rPr>
      </w:pPr>
      <w:r>
        <w:rPr>
          <w:rFonts w:ascii="Times New Roman" w:hAnsi="Times New Roman"/>
          <w:color w:val="000000"/>
          <w:sz w:val="20"/>
        </w:rPr>
        <w:t xml:space="preserve">In January 2025, the FASB issued ASU 2025-01, </w:t>
      </w:r>
      <w:r>
        <w:rPr>
          <w:rFonts w:ascii="Times New Roman" w:hAnsi="Times New Roman"/>
          <w:i/>
          <w:color w:val="000000"/>
          <w:sz w:val="20"/>
        </w:rPr>
        <w:t>Income Statement—Reporting Comprehensive Income—Expense Disaggregation Disclosures (Subtopic 220-40): Clarifying the Effective Date</w:t>
      </w:r>
      <w:r>
        <w:rPr>
          <w:rFonts w:ascii="Times New Roman" w:hAnsi="Times New Roman"/>
          <w:color w:val="000000"/>
          <w:sz w:val="20"/>
        </w:rPr>
        <w:t>, to clarify the effective date of ASU 2024-03, Income Statement—Reporting Comprehensive Income: Disaggregation of Income Statement Expenses. FASB clarified that all public business entities should initially adopt the disclosure requirements in the ASU 2024-03 in the first annual reporting period beginning after December 15, 2026, and interim reporting periods within annual reporting periods beginning after December 15, 2027. The Company is currently assessing the effect of this ASU on its condensed consolidated financial statements and related disclosures.</w:t>
      </w:r>
    </w:p>
    <w:p>
      <w:pPr>
        <w:pStyle w:val="TextBody"/>
        <w:bidi w:val="0"/>
        <w:spacing w:before="0" w:after="160"/>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 (Topic 220): Disaggregation of Income Statement Expenses</w:t>
      </w:r>
      <w:r>
        <w:rPr>
          <w:rFonts w:ascii="Times New Roman" w:hAnsi="Times New Roman"/>
          <w:color w:val="000000"/>
          <w:sz w:val="20"/>
        </w:rPr>
        <w:t xml:space="preserve">, to enhance the transparency and decision usefulness of financial information presented in the income statement by requiring disaggregated information about certain income statement expense line items. The amendments apply to all public business entities. This ASU is effective for annual periods beginning after December 15, 2026, and interim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periods beginning after December 15, 2027. The Company is currently assessing the effect of this ASU on its condensed consolidated financial statements and related disclosures.</w:t>
      </w:r>
    </w:p>
    <w:p>
      <w:pPr>
        <w:pStyle w:val="TextBody"/>
        <w:bidi w:val="0"/>
        <w:jc w:val="both"/>
        <w:rPr>
          <w:rFonts w:ascii="Times New Roman" w:hAnsi="Times New Roman"/>
          <w:b/>
          <w:color w:val="000000"/>
          <w:sz w:val="20"/>
        </w:rPr>
      </w:pPr>
      <w:r>
        <w:rPr>
          <w:rFonts w:ascii="Times New Roman" w:hAnsi="Times New Roman"/>
          <w:b/>
          <w:color w:val="000000"/>
          <w:sz w:val="20"/>
        </w:rPr>
        <w:t>3. Fair Value of Financial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tables present information about the Company’s financial assets that are measured at fair value on a recurring basis and indicate the level of the fair value hierarchy utilized to determine such fair values as of June 30, 2026 and December 31, 2025:</w:t>
      </w:r>
    </w:p>
    <w:p>
      <w:pPr>
        <w:pStyle w:val="TextBody"/>
        <w:bidi w:val="0"/>
        <w:jc w:val="left"/>
        <w:rPr/>
      </w:pPr>
      <w:r>
        <w:rPr/>
        <w:t> </w:t>
      </w:r>
    </w:p>
    <w:tbl>
      <w:tblPr>
        <w:tblW w:w="7080" w:type="dxa"/>
        <w:jc w:val="left"/>
        <w:tblInd w:w="0" w:type="dxa"/>
        <w:tblLayout w:type="fixed"/>
        <w:tblCellMar>
          <w:top w:w="28" w:type="dxa"/>
          <w:left w:w="28" w:type="dxa"/>
          <w:bottom w:w="28" w:type="dxa"/>
          <w:right w:w="28" w:type="dxa"/>
        </w:tblCellMar>
      </w:tblPr>
      <w:tblGrid>
        <w:gridCol w:w="2481"/>
        <w:gridCol w:w="146"/>
        <w:gridCol w:w="211"/>
        <w:gridCol w:w="676"/>
        <w:gridCol w:w="146"/>
        <w:gridCol w:w="146"/>
        <w:gridCol w:w="211"/>
        <w:gridCol w:w="571"/>
        <w:gridCol w:w="146"/>
        <w:gridCol w:w="146"/>
        <w:gridCol w:w="239"/>
        <w:gridCol w:w="391"/>
        <w:gridCol w:w="146"/>
        <w:gridCol w:w="146"/>
        <w:gridCol w:w="211"/>
        <w:gridCol w:w="676"/>
        <w:gridCol w:w="391"/>
      </w:tblGrid>
      <w:tr>
        <w:trPr/>
        <w:tc>
          <w:tcPr>
            <w:tcW w:w="2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34,069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42,102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718" w:type="dxa"/>
        <w:jc w:val="left"/>
        <w:tblInd w:w="0" w:type="dxa"/>
        <w:tblLayout w:type="fixed"/>
        <w:tblCellMar>
          <w:top w:w="28" w:type="dxa"/>
          <w:left w:w="28" w:type="dxa"/>
          <w:bottom w:w="28" w:type="dxa"/>
          <w:right w:w="28" w:type="dxa"/>
        </w:tblCellMar>
      </w:tblPr>
      <w:tblGrid>
        <w:gridCol w:w="2481"/>
        <w:gridCol w:w="146"/>
        <w:gridCol w:w="211"/>
        <w:gridCol w:w="571"/>
        <w:gridCol w:w="146"/>
        <w:gridCol w:w="146"/>
        <w:gridCol w:w="239"/>
        <w:gridCol w:w="391"/>
        <w:gridCol w:w="146"/>
        <w:gridCol w:w="146"/>
        <w:gridCol w:w="239"/>
        <w:gridCol w:w="391"/>
        <w:gridCol w:w="146"/>
        <w:gridCol w:w="146"/>
        <w:gridCol w:w="211"/>
        <w:gridCol w:w="571"/>
        <w:gridCol w:w="391"/>
      </w:tblGrid>
      <w:tr>
        <w:trPr/>
        <w:tc>
          <w:tcPr>
            <w:tcW w:w="2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60"/>
        <w:jc w:val="both"/>
        <w:rPr>
          <w:rFonts w:ascii="Times New Roman" w:hAnsi="Times New Roman"/>
          <w:color w:val="000000"/>
          <w:sz w:val="20"/>
        </w:rPr>
      </w:pPr>
      <w:r>
        <w:rPr>
          <w:rFonts w:ascii="Times New Roman" w:hAnsi="Times New Roman"/>
          <w:color w:val="000000"/>
          <w:sz w:val="20"/>
        </w:rPr>
        <w:t>During the six months ended June 30, 2026 and the year ended December 31, 2025, there were no transfers between levels.</w:t>
      </w:r>
    </w:p>
    <w:p>
      <w:pPr>
        <w:pStyle w:val="TextBody"/>
        <w:bidi w:val="0"/>
        <w:jc w:val="both"/>
        <w:rPr>
          <w:rFonts w:ascii="Times New Roman" w:hAnsi="Times New Roman"/>
          <w:b/>
          <w:color w:val="000000"/>
          <w:sz w:val="20"/>
        </w:rPr>
      </w:pPr>
      <w:r>
        <w:rPr>
          <w:rFonts w:ascii="Times New Roman" w:hAnsi="Times New Roman"/>
          <w:b/>
          <w:color w:val="000000"/>
          <w:sz w:val="20"/>
        </w:rPr>
        <w:t>4. Investments</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There were no short term investments or long term investments as of December 31, 2025. Short term investments and long term investments, which are classified as available-for-sale securities, consisted of the following as of June 30, 2026:</w:t>
      </w:r>
    </w:p>
    <w:tbl>
      <w:tblPr>
        <w:tblW w:w="10112" w:type="dxa"/>
        <w:jc w:val="left"/>
        <w:tblInd w:w="0" w:type="dxa"/>
        <w:tblLayout w:type="fixed"/>
        <w:tblCellMar>
          <w:top w:w="28" w:type="dxa"/>
          <w:left w:w="28" w:type="dxa"/>
          <w:bottom w:w="28" w:type="dxa"/>
          <w:right w:w="28" w:type="dxa"/>
        </w:tblCellMar>
      </w:tblPr>
      <w:tblGrid>
        <w:gridCol w:w="2481"/>
        <w:gridCol w:w="146"/>
        <w:gridCol w:w="392"/>
        <w:gridCol w:w="1258"/>
        <w:gridCol w:w="146"/>
        <w:gridCol w:w="146"/>
        <w:gridCol w:w="908"/>
        <w:gridCol w:w="908"/>
        <w:gridCol w:w="146"/>
        <w:gridCol w:w="146"/>
        <w:gridCol w:w="662"/>
        <w:gridCol w:w="1183"/>
        <w:gridCol w:w="166"/>
        <w:gridCol w:w="146"/>
        <w:gridCol w:w="211"/>
        <w:gridCol w:w="676"/>
        <w:gridCol w:w="391"/>
      </w:tblGrid>
      <w:tr>
        <w:trPr/>
        <w:tc>
          <w:tcPr>
            <w:tcW w:w="2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35,085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60"/>
        <w:jc w:val="both"/>
        <w:rPr>
          <w:rFonts w:ascii="Times New Roman" w:hAnsi="Times New Roman"/>
          <w:color w:val="000000"/>
          <w:sz w:val="20"/>
        </w:rPr>
      </w:pPr>
      <w:r>
        <w:rPr>
          <w:rFonts w:ascii="Times New Roman" w:hAnsi="Times New Roman"/>
          <w:color w:val="000000"/>
          <w:sz w:val="20"/>
        </w:rPr>
        <w:t>All investments classified as available-for-sale securities held as of June 30, 2026 had contractual maturities of less than two years. There have been no material realized gains or losses on investments classified as available-for-sale securities for the periods presented. Unrealized losses on investments classified as available-for-sale as of June 30, 2026, were not significant and were primarily due to changes in interest rates, including market credit spreads, and not due to increased credit risks associated with specific securities. None of the investments classified as available-for-sale have been in a continuous unrealized loss position for more than twelve months. Accordingly, no other-than-temporary impairment was recorded for the three and six months ended June 30, 2026.</w:t>
      </w:r>
    </w:p>
    <w:p>
      <w:pPr>
        <w:pStyle w:val="TextBody"/>
        <w:bidi w:val="0"/>
        <w:jc w:val="both"/>
        <w:rPr>
          <w:rFonts w:ascii="Times New Roman" w:hAnsi="Times New Roman"/>
          <w:b/>
          <w:color w:val="000000"/>
          <w:sz w:val="20"/>
        </w:rPr>
      </w:pPr>
      <w:r>
        <w:rPr>
          <w:rFonts w:ascii="Times New Roman" w:hAnsi="Times New Roman"/>
          <w:b/>
          <w:color w:val="000000"/>
          <w:sz w:val="20"/>
        </w:rPr>
        <w:t>5. Prepaid Expenses and Other Current Assets</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Prepaid expenses and other current assets consisted of the following:</w:t>
      </w:r>
    </w:p>
    <w:tbl>
      <w:tblPr>
        <w:tblW w:w="6375" w:type="dxa"/>
        <w:jc w:val="left"/>
        <w:tblInd w:w="0" w:type="dxa"/>
        <w:tblLayout w:type="fixed"/>
        <w:tblCellMar>
          <w:top w:w="28" w:type="dxa"/>
          <w:left w:w="28" w:type="dxa"/>
          <w:bottom w:w="28" w:type="dxa"/>
          <w:right w:w="28" w:type="dxa"/>
        </w:tblCellMar>
      </w:tblPr>
      <w:tblGrid>
        <w:gridCol w:w="3931"/>
        <w:gridCol w:w="146"/>
        <w:gridCol w:w="240"/>
        <w:gridCol w:w="480"/>
        <w:gridCol w:w="146"/>
        <w:gridCol w:w="146"/>
        <w:gridCol w:w="294"/>
        <w:gridCol w:w="801"/>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6. Goodwill and Indefinite-Lived Intangible Assets</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Indefinite-lived intangible assets and goodwill are tested for impairment at least annually. The assessment of recoverability and impairment was performed at the individual indefinite-lived intangible asset level. The Company did not incur impairment loss on indefinite-lived intangible assets or goodwill during the three months or six months ended June 30, 2026. The Company incurred impairment loss on indefinite-lived intangible assets of $28,700 for the year ended December 31, 2025 in connection with funding constraints that are causing the delay in further clinical development of LTI-01 and other preclinical programs until additional funds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raised. In the fourth quarter of 2025, the Company decided to pause development activities related to LTI-01 for an indefinite period and focus on the development of LTI-03. The timing and likelihood of resuming development of LTI-01 are uncertain and contingent on the Company's ability to obtain additional financing and the future success of LTI-03. Therefore, the Company wrote off the total carrying value of the LTI-01 asset and other preclinical programs as of December 31, 2025. </w:t>
      </w:r>
    </w:p>
    <w:p>
      <w:pPr>
        <w:pStyle w:val="TextBody"/>
        <w:bidi w:val="0"/>
        <w:jc w:val="both"/>
        <w:rPr>
          <w:rFonts w:ascii="Times New Roman" w:hAnsi="Times New Roman"/>
          <w:b/>
          <w:color w:val="000000"/>
          <w:sz w:val="20"/>
        </w:rPr>
      </w:pPr>
      <w:r>
        <w:rPr>
          <w:rFonts w:ascii="Times New Roman" w:hAnsi="Times New Roman"/>
          <w:b/>
          <w:color w:val="000000"/>
          <w:sz w:val="20"/>
        </w:rPr>
        <w:t>7. Other Assets</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Other assets consisted of the following:</w:t>
      </w:r>
    </w:p>
    <w:tbl>
      <w:tblPr>
        <w:tblW w:w="6422" w:type="dxa"/>
        <w:jc w:val="left"/>
        <w:tblInd w:w="0" w:type="dxa"/>
        <w:tblLayout w:type="fixed"/>
        <w:tblCellMar>
          <w:top w:w="28" w:type="dxa"/>
          <w:left w:w="28" w:type="dxa"/>
          <w:bottom w:w="28" w:type="dxa"/>
          <w:right w:w="28" w:type="dxa"/>
        </w:tblCellMar>
      </w:tblPr>
      <w:tblGrid>
        <w:gridCol w:w="3916"/>
        <w:gridCol w:w="146"/>
        <w:gridCol w:w="211"/>
        <w:gridCol w:w="571"/>
        <w:gridCol w:w="146"/>
        <w:gridCol w:w="146"/>
        <w:gridCol w:w="413"/>
        <w:gridCol w:w="682"/>
        <w:gridCol w:w="1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prepaid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8. Accrued Expenses and Other Current Liabilities</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Accrued expenses and other current liabilities consisted of the following:</w:t>
      </w:r>
    </w:p>
    <w:tbl>
      <w:tblPr>
        <w:tblW w:w="6967" w:type="dxa"/>
        <w:jc w:val="left"/>
        <w:tblInd w:w="0" w:type="dxa"/>
        <w:tblLayout w:type="fixed"/>
        <w:tblCellMar>
          <w:top w:w="28" w:type="dxa"/>
          <w:left w:w="28" w:type="dxa"/>
          <w:bottom w:w="28" w:type="dxa"/>
          <w:right w:w="28" w:type="dxa"/>
        </w:tblCellMar>
      </w:tblPr>
      <w:tblGrid>
        <w:gridCol w:w="4261"/>
        <w:gridCol w:w="146"/>
        <w:gridCol w:w="211"/>
        <w:gridCol w:w="571"/>
        <w:gridCol w:w="246"/>
        <w:gridCol w:w="246"/>
        <w:gridCol w:w="294"/>
        <w:gridCol w:w="801"/>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and development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payroll-related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9. Notes Payable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January 2026 and February 2026, the Company entered into securities purchase agreements with certain institutional investors pursuant to which the Company issued the Notes. The Notes had an aggregate principal amount of approximately $5,375 and were issued for aggregate net proceeds of $4,300, reflecting an original issue discount of approximately 20%. The Notes do not bear stated interest and mature on the earlier of (i) the closing of a qualifying financing transaction resulting in gross proceeds to the Company of at least $10,000 or (ii) June 30, 2026. The Notes are unsecured obligations of the Company.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The Company evaluated the Notes under the guidance in ASC 480 and concluded that the Notes should be classified as liabilities, as they represent unconditional obligations to deliver cash and do not meet the criteria for equity classification. The original issue discount was recorded as a debt discount and is being amortized to interest expense over the term of the Notes using the effective interest method. For the three months ended June 30, 2026, the Company recognized approximately $452 of amortization of the debt discount as interest expense.</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In May 2026, upon the closing of the May 2026 Offering, the Notes matured and the Company repaid in full all outstanding amounts under the Notes.</w:t>
      </w:r>
    </w:p>
    <w:p>
      <w:pPr>
        <w:pStyle w:val="TextBody"/>
        <w:bidi w:val="0"/>
        <w:jc w:val="both"/>
        <w:rPr>
          <w:rFonts w:ascii="Times New Roman" w:hAnsi="Times New Roman"/>
          <w:b/>
          <w:color w:val="000000"/>
          <w:sz w:val="20"/>
        </w:rPr>
      </w:pPr>
      <w:r>
        <w:rPr>
          <w:rFonts w:ascii="Times New Roman" w:hAnsi="Times New Roman"/>
          <w:b/>
          <w:color w:val="000000"/>
          <w:sz w:val="20"/>
        </w:rPr>
        <w:t>10. Preferred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authorized to issue 5,000,000 shares of preferred stock, par value $0.001 per share. As of June 30, 2026 and December 31, 2025, the Company had issued 24,610 shares of Series X Preferred Stock, of which 12,232 shares of Series X Preferred Stock remained outstanding.</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At the 2023 annual meeting of stockholders, or the 2023 Annual Meeting, the Company’s stockholders approved the issuance, in accordance with Nasdaq Listing Rule 5635(a), of shares of common stock, upon conversion of the Company’s outstanding Series X Preferred Stock. On March 5, 2024, based upon then existing beneficial ownership limitations, 11,957 shares of Series X Preferred Stock were automatically converted into 11,957,000 shares of common stock. On May 8, 2024, the Bios Entities (as defined below) provided notice to the Company and converted 421 shares of Series X Preferred Stock held by them into 421,000 shares of common stock. As of June 30, 2026 and December 31, 2025, 12,232 shares of Series X Preferred Stock (which are convertible into 12,232,000 shares of common stock) remained convertible at the option of the holder thereof, subject to certain beneficial ownership limitations (as described below).</w:t>
      </w:r>
    </w:p>
    <w:p>
      <w:pPr>
        <w:pStyle w:val="TextBody"/>
        <w:bidi w:val="0"/>
        <w:jc w:val="both"/>
        <w:rPr>
          <w:rFonts w:ascii="Times New Roman" w:hAnsi="Times New Roman"/>
          <w:sz w:val="20"/>
        </w:rPr>
      </w:pPr>
      <w:r>
        <w:rPr>
          <w:rFonts w:ascii="Times New Roman" w:hAnsi="Times New Roman"/>
          <w:color w:val="000000"/>
          <w:sz w:val="20"/>
        </w:rPr>
        <w:t xml:space="preserve">The Company evaluated the Series X Preferred Stock for liability classification in accordance with the provisions of ASC 480, </w:t>
      </w:r>
      <w:r>
        <w:rPr>
          <w:rFonts w:ascii="Times New Roman" w:hAnsi="Times New Roman"/>
          <w:i/>
          <w:color w:val="000000"/>
          <w:sz w:val="20"/>
        </w:rPr>
        <w:t>Distinguishing Liabilities from Equity</w:t>
      </w:r>
      <w:r>
        <w:rPr>
          <w:rFonts w:ascii="Times New Roman" w:hAnsi="Times New Roman"/>
          <w:color w:val="000000"/>
          <w:sz w:val="20"/>
        </w:rPr>
        <w:t xml:space="preserve">, or ASC 480, and determined that equity treatment was appropriate because the Series X Preferred Stock did not meet the definition of the liability instruments. Specifically, the Series X Preferred Stock is not mandatorily redeemable and does not embody an obligation to buy back the shares outside of the Company’s control in a manner that could require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transfer of assets. The Company determined that the Series X Preferred Stock would be recorded as temporary equity, based on the guidance of ASC 480, given that it is contingently redeemable.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share of Series X Preferred Stock is convertible into 1,000 shares of Common Stock. The preferences, rights, and limitations initially applicable to the Series X Preferred Stock are set forth in the Certificate of Designation of Series X Non-Voting Convertible Preferred Stock, or the Certificate of Designation.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Series X Preferred Stock has the following characteristics: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Voting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Except as otherwise required by law, the Series X Preferred Stock does not have voting rights. However, as long as any shares of Series X Preferred Stock are outstanding, the Company will not, without the affirmative vote of the holders of a majority of the then outstanding shares of the Series X Preferred Stock, (i) alter or change adversely the powers, preferences or rights given to the Series X Preferred Stock or alter or amend the Certificate of Designation, amend or repeal any provision of, or add any provision to, the Certificate of Incorporation or by-laws of the Company, or file any articles of amendment, certificate of designations, preferences, limitations and relative rights of any series of preferred stock, if such action would adversely alter or change the preferences, rights, privileges or powers of, or restrictions provided for the benefit of the Series X Preferred Stock, (ii) issue further shares of Series X Preferred Stock or increase or decrease (other than by conversion) the number of authorized shares of Series X Preferred Stock, or (iii) enter into any agreement with respect to any of the foregoing.</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Dividends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Holders of Series X Preferred Stock are entitled to receive dividends on shares of Series X Preferred Stock equal, on an as-if-converted-to-common-stock basis, and in the same form as dividends actually paid on shares of the common stock. Such dividends are not cumulative. Since the Company’s inception, no dividends have been declared or paid.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Liquidation, dissolution or winding up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Series X Preferred Stock does not have a preference upon any liquidation, dissolution or winding-up of the Company.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Upon liquidation, dissolution or winding up of the Company, the Series X preferred stockholders shall be entitled to receive an equivalent amount of distributions as would be paid on the common stock underlying the Series X Preferred Stock, determined on an as-converted basis, pari passu with any distributions to the common stock shareholders.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Conversion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Series X Preferred Stock is convertible into common stock at a rate of 1,000 shares of common stock for every one share of Series X Preferred Stock that is converted. The Series X Preferred Stock is subject to certain beneficial ownership limitations, including that a holder of Series X Preferred Stock is prohibited from converting shares of Series X Preferred Stock into shares of common stock if, as a result of such conversion, such holder (together with its affiliates and any other persons acting as a group together with the holder or any of its affiliates) would beneficially own more than a specified percentage (to be initially set at 19.99% and thereafter adjusted by the holder to a number not to exceed 19.99%) of the total number of shares of common stock issued and outstanding immediately after giving effect to such conversion.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Redemption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Shares of the Series X Preferred Stock are not redeemable at the election of the holder.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Maturity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Series X Preferred Stock shall be perpetual unless converted.</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11.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June 30, 2026 and December 31, 2025, the Company was authorized to issue 100,000,000 shares of common stock, par value $0.001 per share.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On May 4, 2026, the Company completed an underwritten public offering of 50,000,000 shares of its common stock at a public offering price of $1.00 per share. In connection with the offering, the Company granted the underwriters a 45-day option to purchase up to an additional 7,500,000 shares of its common stock at the public offering price, less underwriting discounts and commissions, which was fully exercised on May 5, 2026. The Company refers to these transactions collectively as the May 2026 Offering. Aggregate gross proceeds from the May 2026 Offering were $57,500, and net proceeds to the Company were approximately $53,099 after deducting underwriting discounts, commissions, and offering expenses of approximately $4,401.</w:t>
      </w:r>
    </w:p>
    <w:p>
      <w:pPr>
        <w:pStyle w:val="TextBody"/>
        <w:bidi w:val="0"/>
        <w:jc w:val="both"/>
        <w:rPr>
          <w:rFonts w:ascii="Times New Roman" w:hAnsi="Times New Roman"/>
          <w:color w:val="000000"/>
          <w:sz w:val="20"/>
        </w:rPr>
      </w:pPr>
      <w:r>
        <w:rPr>
          <w:rFonts w:ascii="Times New Roman" w:hAnsi="Times New Roman"/>
          <w:color w:val="000000"/>
          <w:sz w:val="20"/>
        </w:rPr>
        <w:t xml:space="preserve">As of June 30, 2026 and December 31, 2025, the Company had 85,767,032 and 27,550,222 shares of common stock issued and outstanding,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Each share of common stock entitles the holder to one vote on all matters submitted to a vote of the Company’s stockholders. Common stockholders are entitled to receive dividends, as may be declared by the Company’s Board, if any. As of June 30, 2026, no dividends had been declared.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event of liquidation or dissolution, the holders of the common stock are entitled to receive proportionately all assets available for distribution to stockholders after the payment of all debts and other liabilities and subject to the prior rights of any outstanding preferred stock.</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Issuance of Common Stock and Warrants</w:t>
      </w:r>
    </w:p>
    <w:p>
      <w:pPr>
        <w:pStyle w:val="TextBody"/>
        <w:bidi w:val="0"/>
        <w:spacing w:before="120" w:after="160"/>
        <w:jc w:val="both"/>
        <w:rPr>
          <w:rFonts w:ascii="Times New Roman" w:hAnsi="Times New Roman"/>
          <w:i/>
          <w:color w:val="000000"/>
          <w:sz w:val="20"/>
        </w:rPr>
      </w:pPr>
      <w:r>
        <w:rPr>
          <w:rFonts w:ascii="Times New Roman" w:hAnsi="Times New Roman"/>
          <w:i/>
          <w:color w:val="000000"/>
          <w:sz w:val="20"/>
        </w:rPr>
        <w:t>Konik Warrants and Bios Warrants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On April 30, 2026, the Company entered into an underwriting agreement with Konik Capital Partners, LLC (“Konik”), a division of T.R. Winston &amp; Company, LLC, acting as sole book-running manager, relating to the May Offering. In connection with the May Offering, the Company issued to the underwriter or its designees warrants to purchase shares of the Company’s common stock equal to 3% of the shares of common stock sold in the offering, including shares sold pursuant to the exercise of the over-allotment option, if any (the “Konik Warrants”). The Konik Warrants include warrants to purchase 1,500,000 shares of common stock issued in connection with the base offering and warrants to purchase up to 225,000 additional shares of common stock related to the underwriter’s over-allotment option. The Konik Warrants have an exercise price of $1.50 per share, are exercisable beginning October 27, 2026, and expire on April 30, 2031. The Konik Warrants are subject to a 180-day lock-up period pursuant to FINRA Rule 5110(e).</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On April 30, 2026, the Company entered into a letter agreement with Bios Partners, L.P., on behalf of certain Bios entities holding securities of the Company. Pursuant to the letter agreement, the Bios entities agreed to defer the conversion of 12,232 shares of the Company’s Series X Non-Voting Convertible Preferred Stock held by the Bios entities and waived the Company’s obligation under the Certificate of Designation of Series X Non-Voting Convertible Preferred Stock to reserve the shares of common stock issuable upon conversion of such preferred shares until the Company has amended its Restated Certificate of Incorporation to increase its authorized common stock. In addition, subject to certain exceptions, the Bios entities agreed not to sell, transfer or otherwise dispose of, directly or indirectly, any Series X Non-Voting Convertible Preferred Stock or the underlying shares of common stock for a period ending April 30, 2029.</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In consideration for the agreements and waivers of the Bios entities, the Company agreed to issue warrants to the Bios entities to purchase an aggregate of 3,000,000 shares of the Company’s common stock at an exercise price of $1.00 per share (the “Bios Warrants,” and together with the Konik Warrants, the “2026 Warrants”). The Bios Warrants are on substantially the same terms as the Konik Warrants, except for the exercise price which is $1.00 per share for Bios Warrants.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2026 Warrants are exercisable for cash. If, after the initial exercise date, there is no effective registration statement registering the warrant shares, or the prospectus contained therein is not available for the resale of the warrant shares by the holder, the holder may exercise the 2026 Warrants on a cashless basis. A holder of the 2026 Warrants may not exercise any portion of such warrant to the extent that, after giving effect to such exercise, the holder, together with its affiliates and any other persons acting as a group, would beneficially own more than 9.99% of the Company’s outstanding common stock immediately after exercise.</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2026 Warrants include customary adjustment provisions for stock dividends, stock splits, combinations, reclassifications and certain other events. Upon a fundamental transaction, the holders of the 2026 Warrants are entitled, upon subsequent exercise, to receive the same type or form of consideration receivable by holders of the Company’s common stock for the shares underlying the warrants. The 2026 Warrants do not provide the holders with a stated right to require the Company to redeem the warrants for cash at a Black-Scholes value upon a fundamental transaction.</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Company evaluated the 2026 Warrants in accordance with ASC 480, Distinguishing Liabilities from Equity, and ASC 815, Derivatives and Hedging and determined that the 2026 Warrants are not precluded from equity classification. However, because the Company did not have a sufficient number of authorized and unissued shares of common stock available to settle all of its commitments to issue shares at the time the 2026 Warrants were issued, the 2026 Warrants did not meet all of the conditions for equity classification under ASC 815-40. Accordingly, the Company classified the 2026 Warrants as liabilities at issuance.</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2026 Warrants were initially recognized at fair value on the issuance date and are remeasured to fair value at each reporting date, with changes in fair value recognized in the statements of operations and comprehensive loss. The Company will continue to classify the 2026 Warrants as liabilities until such time as the 2026 Warrants meet the conditions for equity classification.</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Company allocated the proceeds from the offering first to the 2026 Warrants based on their fair value, with the residual proceeds allocated to the common stock issued in the offering. Issuance costs allocated to the 2026 Warrant liabilities were expensed as incurred. Issuance costs allocated to the common stock were recorded as a reduction to additional paid-in capital.</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fair value of the 2026 Warrant liabilities was determined using a Black-Scholes option-pricing model. The following assumptions were used to estimate the fair value of the 2026 Warrants at issuance and as of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845" w:type="dxa"/>
        <w:jc w:val="left"/>
        <w:tblInd w:w="0" w:type="dxa"/>
        <w:tblLayout w:type="fixed"/>
        <w:tblCellMar>
          <w:top w:w="28" w:type="dxa"/>
          <w:left w:w="28" w:type="dxa"/>
          <w:bottom w:w="28" w:type="dxa"/>
          <w:right w:w="28" w:type="dxa"/>
        </w:tblCellMar>
      </w:tblPr>
      <w:tblGrid>
        <w:gridCol w:w="2821"/>
        <w:gridCol w:w="146"/>
        <w:gridCol w:w="303"/>
        <w:gridCol w:w="822"/>
        <w:gridCol w:w="271"/>
        <w:gridCol w:w="146"/>
        <w:gridCol w:w="275"/>
        <w:gridCol w:w="745"/>
        <w:gridCol w:w="316"/>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5,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 — Konik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 — Bios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60"/>
        <w:jc w:val="both"/>
        <w:rPr>
          <w:rFonts w:ascii="Times New Roman" w:hAnsi="Times New Roman"/>
          <w:color w:val="000000"/>
          <w:sz w:val="20"/>
        </w:rPr>
      </w:pPr>
      <w:r>
        <w:rPr>
          <w:rFonts w:ascii="Times New Roman" w:hAnsi="Times New Roman"/>
          <w:color w:val="000000"/>
          <w:sz w:val="20"/>
        </w:rPr>
        <w:t>The fair value measurement of the 2026 Warrant liabilities is classified as Level 3 within the fair value hierarchy because it is based on significant inputs not observable in the market. The following table provides a rollforward of the Level 3 fair value measurement of the 2026 Warrant liabilities.</w:t>
      </w:r>
    </w:p>
    <w:tbl>
      <w:tblPr>
        <w:tblW w:w="5080" w:type="dxa"/>
        <w:jc w:val="left"/>
        <w:tblInd w:w="0" w:type="dxa"/>
        <w:tblLayout w:type="fixed"/>
        <w:tblCellMar>
          <w:top w:w="28" w:type="dxa"/>
          <w:left w:w="28" w:type="dxa"/>
          <w:bottom w:w="28" w:type="dxa"/>
          <w:right w:w="28" w:type="dxa"/>
        </w:tblCellMar>
      </w:tblPr>
      <w:tblGrid>
        <w:gridCol w:w="3961"/>
        <w:gridCol w:w="146"/>
        <w:gridCol w:w="211"/>
        <w:gridCol w:w="571"/>
        <w:gridCol w:w="19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2026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2026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60"/>
        <w:jc w:val="both"/>
        <w:rPr>
          <w:rFonts w:ascii="Times New Roman" w:hAnsi="Times New Roman"/>
          <w:color w:val="000000"/>
          <w:sz w:val="20"/>
        </w:rPr>
      </w:pPr>
      <w:r>
        <w:rPr>
          <w:rFonts w:ascii="Times New Roman" w:hAnsi="Times New Roman"/>
          <w:color w:val="000000"/>
          <w:sz w:val="20"/>
        </w:rPr>
        <w:t>For the three and six months ended June 30, 2026, the Company recognized a loss of $8 related to the change in fair value of the 2026 Warrant liabilities, which is included in other income (expense), net in the accompanying condensed consolidated statements of operations and comprehensive loss.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shares underlying the 2026 Warrants are not considered outstanding for purposes of basic net loss per share prior to exercise. The shares underlying the 2026 Warrants were excluded from the calculation of diluted net loss per share for the three and six months ended June 30, 2026, because their effect would have been anti-dilutive.</w:t>
      </w:r>
    </w:p>
    <w:p>
      <w:pPr>
        <w:pStyle w:val="TextBody"/>
        <w:bidi w:val="0"/>
        <w:spacing w:before="0" w:after="160"/>
        <w:jc w:val="both"/>
        <w:rPr>
          <w:rFonts w:ascii="Times New Roman" w:hAnsi="Times New Roman"/>
          <w:i/>
          <w:color w:val="000000"/>
          <w:sz w:val="20"/>
        </w:rPr>
      </w:pPr>
      <w:r>
        <w:rPr>
          <w:rFonts w:ascii="Times New Roman" w:hAnsi="Times New Roman"/>
          <w:i/>
          <w:color w:val="000000"/>
          <w:sz w:val="20"/>
        </w:rPr>
        <w:t>Wainwright Sales Agreement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On May 15, 2025, the Company entered into the Wainwright Sales Agreement with H.C. Wainwright, as agent and/or principal, pursuant to which the Company could offer and sell shares of its common stock having an aggregate offering price of up to $13,702 from time to time through or to H.C. Wainwright by any method permitted that is deemed to be an “at the market offering” as defined in Rule 415(a)(4) promulgated under the Securities Act of 1933, as amended. As of June 30, 2026, the Company had issued and sold 1,296,777 shares of common stock pursuant to the Wainwright Sales Agreement for total net proceeds of $1,844, after deducting transaction fees of $67 paid by the Company. In July 2025, in connection with the Yorkville Transactions, the Company reduced the aggregate offering price of the shares of common stock that could be offered and sold under the Wainwright Sales Agreement to $8,067.</w:t>
      </w:r>
    </w:p>
    <w:p>
      <w:pPr>
        <w:pStyle w:val="TextBody"/>
        <w:bidi w:val="0"/>
        <w:spacing w:before="0" w:after="160"/>
        <w:jc w:val="both"/>
        <w:rPr>
          <w:rFonts w:ascii="Times New Roman" w:hAnsi="Times New Roman"/>
          <w:i/>
          <w:color w:val="000000"/>
          <w:sz w:val="20"/>
        </w:rPr>
      </w:pPr>
      <w:r>
        <w:rPr>
          <w:rFonts w:ascii="Times New Roman" w:hAnsi="Times New Roman"/>
          <w:i/>
          <w:color w:val="000000"/>
          <w:sz w:val="20"/>
        </w:rPr>
        <w:t>Warrant Exercises and Exchanges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On April 21, 2025, the Company entered into privately negotiated letter agreements with certain holders of its outstanding warrants issued on November 2, 2023, or the PIPE Warrants, and May 1, 2024, or the Offering Warrants. Pursuant to these agreements, certain holders agreed to exercise the PIPE Warrants for an aggregate of 159,500 shares of the Company’s common stock and the Offering Warrants for an aggregate of 884,798 shares of common stock, at a reduced exercise price of $1.60 per share. The original exercise prices were $4.89 per share for the PIPE Warrants and $4.68 per share for the Offering Warrants. The exercise of the PIPE Warrants was completed on April 24, 2025, and the exercise of the Offering Warrants was completed in May 2025 (collectively, the “Warrant Exercises”). The Company received total net proceeds of $1,595 from the Warrant Exercises.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Separately, in April 2025, the Company entered into agreements with additional holders of the PIPE Warrants who agreed to surrender warrants representing an aggregate of 1,939,000 shares of common stock for cancellation. In exchange, these holders received pre-funded warrants (the “Exchange Pre-Funded Warrants”) exercisable for the same number of shares at an exercise price of $0.001 per share and paid $1.599 per share in cash by April 24, 2025 (the “Warrant Exchanges”). The Company received total net proceeds of $2,984 from the Warrant Exchanges.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As part of the Warrant Exchanges, entities affiliated with Bios Equity Partners, LP (“Bios Partners”) surrendered PIPE Warrants representing an aggregate of 1,300,500 shares and provided the associated cash consideration of $2,079 for the issuance of Exchange Pre-Funded Warrants.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In addition, on April 21, 2025, an entity affiliated with Bios Partners agreed to purchase additional pre-funded warrants to acquire 312,695 shares of the Company’s common stock in a private placement at a price of $1.599 per share, resulting in total net proceeds of $481 (the “Bios Pre-Funded Warrants”). The Exchange Pre-Funded Warrants and the Bios Pre-Funded Warrants are collectively referred to as the “Pre-Funded Warrants.”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The Company assessed the Pre-Funded Warrants for appropriate classification under U.S. GAAP and determined that they are freestanding instruments that do not meet the definition of a liability pursuant to ASC 480 and do not meet the definition of a derivative pursuant to ASC 815, Derivatives and Hedging. The Pre-Funded Warrants are indexed to the Company’s common stock and meet all other conditions for equity classification under ASC 480 and ASC 815. Accordingly, the Pre-Funded Warrants are classified as equity and accounted for as a component of additional paid-in capital at the time of issuance. The Pre-Funded Warrants were initially recognized at their fair value, calculated as the fair value of the underlying common stock less the exercise price of $0.001 per share. The fair value of the common stock was determined based on the quoted market price of the Company’s common stock as of the issuance date. The Pre-Funded Warrants will not be remeasured subsequent to initial recognition.</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repricing of the PIPE Warrants and the Offering Warrants and issuance of the Exchange Pre-Funded Warrants is considered a modification under the guidance of ASU 2021-04. The modification is consistent with the “Equity Issuance” classification under that guidance as the reason for the modification was to induce the holder to cash exercise their warrants, resulting in the imminent exercise of the PIPE Warrants and the Offering Warrants, which raised equity capital and generated net proceeds for the Company of approximately $4,601. The total fair value of the consideration of the modification includes the incremental fair value of the PIPE Warrants and the Offering Warrants (determined by comparing the fair values immediately prior to and immediately after the modification) and the initial fair value of the PIPE Warrants and the Offering Warrants. The fair values of the PIPE Warrants and the Offering Warrants were calculated using the Black-Scholes model. The Company determined that the total fair value of the consideration related to the modification of PIPE Warrants and the Offering Warrants, including the initial fair value of the Exchange Pre-Funded Warrants was $4,757. The net effect of the modification in the amount of $490, as well as the value of the replaced PIPE warrants of $1,385 and the fair value of the Exchange Pre-Funded Warrants of $5,652 were recorded in additional paid-in capital, as both the original warrants (the PIPE Warrants and the Offering Warrants) and the replacement instruments (the Exchange Pre-Funded Warrants) are equity-classified.</w:t>
      </w:r>
    </w:p>
    <w:p>
      <w:pPr>
        <w:pStyle w:val="TextBody"/>
        <w:bidi w:val="0"/>
        <w:spacing w:before="0" w:after="160"/>
        <w:jc w:val="both"/>
        <w:rPr>
          <w:rFonts w:ascii="Times New Roman" w:hAnsi="Times New Roman"/>
          <w:i/>
          <w:color w:val="000000"/>
          <w:sz w:val="20"/>
        </w:rPr>
      </w:pPr>
      <w:r>
        <w:rPr>
          <w:rFonts w:ascii="Times New Roman" w:hAnsi="Times New Roman"/>
          <w:i/>
          <w:color w:val="000000"/>
          <w:sz w:val="20"/>
        </w:rPr>
        <w:t>The Offering Warrants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In May 2024, the Company completed the Offering pursuant to which the Company issued and sold 4,273,505 shares of the Company’s common stock and accompanying Offering Warrants to purchase 4,273,505 shares of common stock. Net proceeds from the Offering were approximately $17,675, after deducting underwriting discounts and commissions and offering expenses, and excluding any proceeds that may be received from exercise of the Offering Warrants. The Offering closed on May 3, 2024.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Company had assessed the Offering Warrants for appropriate equity or liability classification and determined the Offering Warrants are freestanding instruments that do not meet the definition of a liability pursuant to ASC 480 and do not meet the definition of a derivative pursuant to ASC 815. The Offering Warrants are indexed to the Company’s common stock and meet all other conditions for equity classification under ASC 480 and ASC 815. Accordingly, the Offering Warrants are classified as equity and accounted for as a component of additional paid-in capital at the time of issuance. The Offering Warrants were initially recognized at their relative fair value in the amount of $8.0 million at the time of issuance determined using Black-Scholes option-pricing model and are not remeasured.</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Offering Warrants to purchase 884,798 shares of common stock were exercised in April 2025 as part of April 2025 Transactions. As of June 30, 2026 and December 31, 2025, Offering Warrants to purchase 3,388,707 shares of common stock remained outstanding.</w:t>
      </w:r>
    </w:p>
    <w:p>
      <w:pPr>
        <w:pStyle w:val="TextBody"/>
        <w:bidi w:val="0"/>
        <w:spacing w:before="0" w:after="160"/>
        <w:jc w:val="both"/>
        <w:rPr>
          <w:rFonts w:ascii="Times New Roman" w:hAnsi="Times New Roman"/>
          <w:i/>
          <w:color w:val="000000"/>
          <w:sz w:val="20"/>
        </w:rPr>
      </w:pPr>
      <w:r>
        <w:rPr>
          <w:rFonts w:ascii="Times New Roman" w:hAnsi="Times New Roman"/>
          <w:i/>
          <w:color w:val="000000"/>
          <w:sz w:val="20"/>
        </w:rPr>
        <w:t>Prepaid Purchase Agreement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On July 29, 2025, the Company entered into a PPA with Yorkville, pursuant to which the Company may request pre-paid advances of up to $6,000 from Yorkville over a 12-month period, subject to certain limitations and conditions set forth in the PPA. Each Pre-Paid Advance is subject to the consent of Yorkville. Interest shall accrue on the outstanding balance of any Pre-Paid Advance at an annual rate of 8%, subject to an increase to 18% upon events of default described in the PPA. All Pre-Paid Advances are due and payable on the 12-month anniversary of their issuance. At any time that there is an outstanding balance under any Pre-Paid Advances, Yorkville may provide written notice, or Purchase Notice, requiring the Company to issue and sell shares of its common stock to Yorkville, which shall be offset against and reduce the amounts outstanding under the Pre-Paid Advance. The initial advance under the PPA of $1,000 was purchased on July 29, 2025, with net proceeds of $950 after a 5% original issue discount, or OID. On September 8, 2025, the Company entered into a second PPA with Yorkville for an additional $1,000 advance, with net proceeds of $950 after the 5% OID. On October 23, 2025, the Company entered into a third PPA with Yorkville for an additional $1,000 advance, with net proceeds of $950 after the 5% OID.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Company elected the fair value option under ASC 825, Financial Instruments, or ASC 825, to measure the PPAs at fair value, with changes in fair value recognized in earnings. The initial fair value was determined to be equal to the net proceeds received ($950 per PPA), as this amount represented the cash consideration exchanged, consistent with ASC 825. OID costs of $100 related to the first and second PPA were expensed as incurred in the third quarter of 2025, as required under the fair value option. Additionally, the Company incurred legal costs of $118 which were expensed in the consolidated statements of operations and other comprehensive loss.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Under the terms of the PPAs, the Company issued shares of common stock to Yorkville in satisfaction of the advances. The number of shares issued was determined based on the applicable purchase price per share equal to the lower of (a) 115% of the daily volume weighted average price, or the VWAP, of the Company’s common stock on the last full trading day immediately prior to the date of such Pre</w:t>
        <w:noBreakHyphen/>
        <w:t>Paid Advance and (b) 95% of the lowest daily VWAP of the Company’s common stock during the seven consecutive trading days immediately preceding the date on which Yorkville provides the Purchase Notice to the Company, but in no event less than the floor price set forth in the PPA. The carrying value of the PPA and accrued interest were reduced by the issuance of the shares.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Under the terms of the PPAs, through September 24, 2025, the Company issued an aggregate of 1,880,872 shares of common stock to Yorkville (953,765 shares under the first PPA through September 9, 2025, and 927,107 shares under the second PPA), based on the principal of $2,000 from the PPA and $11 of interest expense. The shares were recorded at par value of $0.001 per share with the remainder credited to additional paid-in capital, or APIC.</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On October 23, 2025, Yorkville purchased a third PPA of $1,000, for which the Company received net proceeds of $950. The third PPA was converted to 846,290 shares of the Company’s common stock in October 2025, with no remaining outstanding balance. The shares were recorded at par value of $0.001 per share with the remainder credited to APIC.</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initial, the second and the third PPAs were fully settled as of December 31, 2025, with no remaining outstanding balance. Accordingly, the fair value of the liabilities at June 30, 2026 and December 31, 2025, was $0, and no adjustment for changes in fair value was required.</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On December 11, 2025, the Company terminated the PPA.</w:t>
      </w:r>
    </w:p>
    <w:p>
      <w:pPr>
        <w:pStyle w:val="TextBody"/>
        <w:bidi w:val="0"/>
        <w:jc w:val="both"/>
        <w:rPr>
          <w:rFonts w:ascii="Times New Roman" w:hAnsi="Times New Roman"/>
          <w:color w:val="000000"/>
          <w:sz w:val="20"/>
        </w:rPr>
      </w:pPr>
      <w:r>
        <w:rPr>
          <w:rFonts w:ascii="Times New Roman" w:hAnsi="Times New Roman"/>
          <w:color w:val="000000"/>
          <w:sz w:val="20"/>
        </w:rPr>
        <w:t xml:space="preserve">As of June 30, 2026, there were: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12,469,000 shares of common stock reserved for issuance upon conversion of the Series X Preferred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3,545,997 shares of common stock issuable upon the exercise of options under existing equity incentive plans;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1,932,194 and 7,500 shares of common stock reserved for issuance under the 2021 Plan (Note 10) and 2017 ESPP (Note 10), respectively, as well as any automatic increases in the number of shares of the common stock reserved under these plans; and</w:t>
      </w:r>
    </w:p>
    <w:p>
      <w:pPr>
        <w:pStyle w:val="TextBody"/>
        <w:bidi w:val="0"/>
        <w:spacing w:before="120" w:after="160"/>
        <w:jc w:val="both"/>
        <w:rPr>
          <w:color w:val="000000"/>
        </w:rPr>
      </w:pPr>
      <w:r>
        <w:rPr>
          <w:color w:val="000000"/>
        </w:rPr>
        <w:t>•</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11,346,839 shares of common stock reserved for issuance upon exercise of outstanding warrants. The warrants consist of (i) warrants to purchase 726,437 shares of the Company’s common stock, with an exercise price of $5.66, which expire on May 20, 2029, which were assumed in connection with the Lung Acquisition, (ii) warrants to purchase 255,000 shares of the Company’s common stock, with an exercise price of $4.89 per share, which were issued and sold in the PIPE Financing as described above and expire on May 2, 2027, (iii) warrants to purchase 3,388,707 shares of the Company’s common stock, with an exercise price of $4.68 per share, which were issued and sold in the Offering as described above and expire on May 3, 2027, (iv) the Exchange Pre-Funded Warrants to purchase 1,939,000 shares of the Company's common stock, with an exercise price of $0.001 per share, which were issued and sold in the Warrant Exchanges as described above can be exercised at any time after their original issuance until such Exchange Pre-Funded Warrants are exercised in full, (v) the Bios Pre-Funded Warrants to purchase 312,695 shares of the Company's common stock, with an exercise price of $0.001 per share, which were issued and sold in April 2025 as described above and can be exercised at any time after their original issuance until such Bios Pre-Funded Warrants are exercised in full, (vi) the Konik Warrants to purchase 1,725,000 shares of the Company's common stock, with an exercise price of $1.50 per share, which were issued and sold in April 2026 as described above and can be exercised beginning October 27, 2026, and expire on April 30, 2031, and (vii) the Bios Warrants to purchase 3,000,000 shares of the Company's common stock, with an exercise price of $1.00 per share, which were issued and sold in April 2026 as described above and can be exercised beginning October 27, 2026, and expire on April 30, 2031.</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Accordingly, as of June 30, 2026, there were 85,767,032 shares issued and outstanding and a total of 27,369,336 shares of common stock issuable upon conversion of the Series X and the exercise of outstanding options and warrants. At the Company's annual meeting held on July 20, 2026, its stockholders approved an amendment to its restated certificate of incorporation to increase the number of authorized shares of common stock from 100,000,000 shares to 200,000,000 shares.</w:t>
      </w:r>
    </w:p>
    <w:p>
      <w:pPr>
        <w:pStyle w:val="TextBody"/>
        <w:bidi w:val="0"/>
        <w:jc w:val="left"/>
        <w:rPr>
          <w:rFonts w:ascii="Times New Roman" w:hAnsi="Times New Roman"/>
          <w:b/>
          <w:color w:val="000000"/>
          <w:sz w:val="20"/>
        </w:rPr>
      </w:pPr>
      <w:r>
        <w:rPr>
          <w:rFonts w:ascii="Times New Roman" w:hAnsi="Times New Roman"/>
          <w:b/>
          <w:color w:val="000000"/>
          <w:sz w:val="20"/>
        </w:rPr>
        <w:t>12. Stock-Based Awards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June 30, 2026, the Company had five equity compensation plans, each of which was approved by its stockholders: 2006 Equity Incentive Plan, as amended, or the 2006 Plan, 2016 Stock Incentive Plan, or the 2016 Plan, 2017 Stock Incentive Plan, or the 2017 Plan, 2021 Stock Incentive Plan, or the 2021 Plan, and 2017 Employee Stock Purchase Plan, or the 2017 ESPP. The Company also assumed Lung’s 2013 Long-Term Incentive Plan, or the 2013 Plan, as a result of the Lung Acquisition.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As of June 30, 2026, the Company had no shares issuable upon exercise of outstanding options under the 2006 Plan; 8,404 shares to be issued upon exercise of outstanding options under the 2016 Plan, 98,528 shares to be issued upon exercise of outstanding options under the 2017 Plan and 1,922,179 shares to be issued upon exercise of outstanding options under the 2021 Plan. No shares remained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available for future awards under the 2006 Plan, the 2016 Plan, and the 2017 Plan as of June 30, 2026. Shares that are expired, terminated, surrendered or canceled without having been fully exercised under the 2017 Plan will be available for future awards under the 2021 Plan. In addition, shares of common stock that are tendered to the Company by a participant to exercise an award are added to the number of shares of common stock available for the grant of awards under the 2021 Plan.</w:t>
      </w:r>
    </w:p>
    <w:p>
      <w:pPr>
        <w:pStyle w:val="TextBody"/>
        <w:bidi w:val="0"/>
        <w:jc w:val="both"/>
        <w:rPr>
          <w:rFonts w:ascii="Times New Roman" w:hAnsi="Times New Roman"/>
          <w:color w:val="000000"/>
          <w:sz w:val="20"/>
        </w:rPr>
      </w:pPr>
      <w:r>
        <w:rPr>
          <w:rFonts w:ascii="Times New Roman" w:hAnsi="Times New Roman"/>
          <w:color w:val="000000"/>
          <w:sz w:val="20"/>
        </w:rPr>
        <w:t>Under the 2021 Plan, shares that are expired, terminated, surrendered or canceled without having been fully exercised will be available for future awards. In addition, shares of common stock that are tendered to the Company by a participant to exercise an award are added to the number of shares of common stock available for the grant of awards.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exercise price for stock options granted may not be less than the fair market value of the common stock as of the date of grant.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2021 Stock Incentive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2021 Plan was approved by the Company’s stockholders on June 15, 2021 and became effective on June 16, 2021. At the 2023 Annual Meeting, the stockholders of the Company approved an amendment, or the Plan Amendment, to the 2021 Plan to increase the number of shares of common stock issuable under the 2021 Plan by 3,000,000 shares to 3,840,254. Other than increasing the number of shares issuable under the 2021 Plan, the Plan Amendment does not make any changes to the 2021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2021 Plan, the Company may grant incentive stock options, nonstatutory stock options, stock appreciation rights, restricted stock awards, awards of restricted stock units and other stock-based awards. The Company’s employees, officers, directors, consultants and advisors are eligible to receive awards under the 2021 Plan; however, incentive stock options may only be granted to employees. The 2021 Plan is administered by the Board or, at the discretion of the Board, by a committee of the Board. The number of shares of common stock covered by options and the date those options become exercisable, type of options to be granted, exercise prices, vesting and other restrictions are determined at the discretion of the Board, or its committee if so delegated.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 options granted under the 2021 Plan with service-based vesting conditions generally vest over four years and may not have a duration in excess of ten years, although options have been granted with vesting terms of less than four years.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total number of shares of common stock that may be issued under the 2021 Plan was 3,840,254 as of June 30, 2026, of which 1,932,194 shares remained available for grant. The Company initially reserved 625,000 shares of common stock, plus the number of shares of common stock subject to outstanding awards under the 2017 Plan, the 2016 Plan and the 2006 Plan that expire, terminate or are otherwise surrendered, canceled, forfeited or repurchased by the Company at their original issuance price pursuant to a contractual repurchase right up to 314,006 shares. As of June 30, 2026, the Company had 1,922,179 shares to be issued upon exercise of outstanding options under the 2021 Plan.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2013 Stock Incentive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assumed the 2013 Plan as a result of the Lung Acquisition. In October 2013, Lung’s Board of Directors, or the Lung Board, approved the 2013 Plan to provide long-term incentives for its employees, non-employee directors and certain consultants. As of June 30, 2026, 1,516,886 shares were reserved to be issued upon exercise of options outstanding under the 2013 Plan. These options were assumed by the Company in connection with the Lung Acquisition.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Before the Lung Acquisition, the 2013 Plan was administered by the Lung Board or, at the discretion of the Lung Board, by a committee of the Lung Board. The exercise prices, vesting and other restrictions were determined at the discretion of the Lung Board, or its committee if so delegated, except that the exercise price per share of stock options may not be less than 100% of the fair market value of the share of common stock on the date of grant and the term of stock option may not be greater than ten years. The vesting periods for equity awards were determined by the Lung Board, but generally were four years. The contractual term for stock option awards is ten years. Following the closing of the Lung Acquisition on October 31, 2023, no further awards can be granted under the 2013 Plan.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Stock Option Valuation</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There were no awards granted during the six months ended June 30, 2025. The assumptions that the Company used to determine the grant-date fair value of the stock options granted during the six months ended June 30, 2026 were as follows, presented on a weighted average basis:</w:t>
      </w:r>
    </w:p>
    <w:tbl>
      <w:tblPr>
        <w:tblW w:w="4618" w:type="dxa"/>
        <w:jc w:val="left"/>
        <w:tblInd w:w="0" w:type="dxa"/>
        <w:tblLayout w:type="fixed"/>
        <w:tblCellMar>
          <w:top w:w="28" w:type="dxa"/>
          <w:left w:w="28" w:type="dxa"/>
          <w:bottom w:w="28" w:type="dxa"/>
          <w:right w:w="28" w:type="dxa"/>
        </w:tblCellMar>
      </w:tblPr>
      <w:tblGrid>
        <w:gridCol w:w="2086"/>
        <w:gridCol w:w="146"/>
        <w:gridCol w:w="421"/>
        <w:gridCol w:w="1649"/>
        <w:gridCol w:w="31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the Company’s stock option activity since January 1, 2026:</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635"/>
        <w:gridCol w:w="146"/>
        <w:gridCol w:w="146"/>
        <w:gridCol w:w="931"/>
        <w:gridCol w:w="146"/>
        <w:gridCol w:w="146"/>
        <w:gridCol w:w="379"/>
        <w:gridCol w:w="838"/>
        <w:gridCol w:w="146"/>
        <w:gridCol w:w="146"/>
        <w:gridCol w:w="285"/>
        <w:gridCol w:w="706"/>
        <w:gridCol w:w="146"/>
        <w:gridCol w:w="146"/>
        <w:gridCol w:w="290"/>
        <w:gridCol w:w="581"/>
        <w:gridCol w:w="392"/>
      </w:tblGrid>
      <w:tr>
        <w:trPr/>
        <w:tc>
          <w:tcPr>
            <w:tcW w:w="46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46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3,545,997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expected to vest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3,511,011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expected to vest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There were 402,000 awards granted in the six months ended June 30, 2026 and no awards granted in the six months ended June 30, 2025. The weighted average grant-date fair value of stock options granted during the six months ended June 30, 2026 was $1.02. The aggregate fair value of stock options that vested during the six months ended June 30, 2026 and 2025, was $253 and $92, respectively. The aggregate fair value of stock options that vested during the three months ended June 30, 2026 and 2025, was $122 and $46, respectively.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 There were no stock options exercised during the six months ended June 30, 2026. The aggregate intrinsic value of stock options exercised during the six months ended June 30, 2025 was $18.</w:t>
      </w:r>
    </w:p>
    <w:p>
      <w:pPr>
        <w:pStyle w:val="TextBody"/>
        <w:bidi w:val="0"/>
        <w:spacing w:before="0" w:after="160"/>
        <w:jc w:val="both"/>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The Company has granted restricted stock units with service-based vesting conditions. Unvested shares of restricted common stock may not be sold or transferred by the holder.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In August 2025, the Company granted 1,000,000 restricted stock units that were immediately vested. In June 2026, the final unissued 228,000 of vested restricted stock units associated with the August 2025 grant were issued. </w:t>
      </w:r>
    </w:p>
    <w:p>
      <w:pPr>
        <w:pStyle w:val="TextBody"/>
        <w:bidi w:val="0"/>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The Company recorded stock-based compensation expense related to stock options and restricted stock units in the following expense categories of its statements of operations and comprehensive loss:</w:t>
      </w:r>
    </w:p>
    <w:tbl>
      <w:tblPr>
        <w:tblW w:w="8266" w:type="dxa"/>
        <w:jc w:val="left"/>
        <w:tblInd w:w="0" w:type="dxa"/>
        <w:tblLayout w:type="fixed"/>
        <w:tblCellMar>
          <w:top w:w="28" w:type="dxa"/>
          <w:left w:w="28" w:type="dxa"/>
          <w:bottom w:w="28" w:type="dxa"/>
          <w:right w:w="28" w:type="dxa"/>
        </w:tblCellMar>
      </w:tblPr>
      <w:tblGrid>
        <w:gridCol w:w="3451"/>
        <w:gridCol w:w="307"/>
        <w:gridCol w:w="613"/>
        <w:gridCol w:w="212"/>
        <w:gridCol w:w="212"/>
        <w:gridCol w:w="307"/>
        <w:gridCol w:w="613"/>
        <w:gridCol w:w="146"/>
        <w:gridCol w:w="146"/>
        <w:gridCol w:w="280"/>
        <w:gridCol w:w="560"/>
        <w:gridCol w:w="194"/>
        <w:gridCol w:w="194"/>
        <w:gridCol w:w="280"/>
        <w:gridCol w:w="560"/>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60"/>
        <w:jc w:val="both"/>
        <w:rPr>
          <w:rFonts w:ascii="Times New Roman" w:hAnsi="Times New Roman"/>
          <w:color w:val="000000"/>
          <w:sz w:val="20"/>
        </w:rPr>
      </w:pPr>
      <w:r>
        <w:rPr>
          <w:rFonts w:ascii="Times New Roman" w:hAnsi="Times New Roman"/>
          <w:color w:val="000000"/>
          <w:sz w:val="20"/>
        </w:rPr>
        <w:t>As of June 30, 2026, the Company had an aggregate of $1,565 of unrecognized stock-based compensation expense, which it expects to recognize over a weighted average period of 2.75 years. As of June 30, 2025, the Company had an aggregate of $1,874 of unrecognized stock-based compensation expense, which it expects to recognize over a weighted average period of 3.06 years.</w:t>
      </w:r>
    </w:p>
    <w:p>
      <w:pPr>
        <w:pStyle w:val="TextBody"/>
        <w:bidi w:val="0"/>
        <w:jc w:val="left"/>
        <w:rPr>
          <w:rFonts w:ascii="Times New Roman" w:hAnsi="Times New Roman"/>
          <w:b/>
          <w:color w:val="000000"/>
          <w:sz w:val="20"/>
        </w:rPr>
      </w:pPr>
      <w:r>
        <w:rPr>
          <w:rFonts w:ascii="Times New Roman" w:hAnsi="Times New Roman"/>
          <w:b/>
          <w:color w:val="000000"/>
          <w:sz w:val="20"/>
        </w:rPr>
        <w:t>13. Net Loss per Share</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Basic and diluted net loss per share attributable to common stockholders was calculated as follows: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84"/>
        <w:gridCol w:w="146"/>
        <w:gridCol w:w="196"/>
        <w:gridCol w:w="916"/>
        <w:gridCol w:w="166"/>
        <w:gridCol w:w="146"/>
        <w:gridCol w:w="196"/>
        <w:gridCol w:w="916"/>
        <w:gridCol w:w="166"/>
        <w:gridCol w:w="146"/>
        <w:gridCol w:w="196"/>
        <w:gridCol w:w="916"/>
        <w:gridCol w:w="166"/>
        <w:gridCol w:w="146"/>
        <w:gridCol w:w="196"/>
        <w:gridCol w:w="916"/>
        <w:gridCol w:w="591"/>
      </w:tblGrid>
      <w:tr>
        <w:trPr/>
        <w:tc>
          <w:tcPr>
            <w:tcW w:w="40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(12,323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Weighted average common shares outstanding—basic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67,084,661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24,187,536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48,821,118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23,057,920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per share attributable to common stockholders—basic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160"/>
        <w:jc w:val="both"/>
        <w:rPr>
          <w:rFonts w:ascii="Times New Roman" w:hAnsi="Times New Roman"/>
          <w:color w:val="000000"/>
          <w:sz w:val="20"/>
        </w:rPr>
      </w:pPr>
      <w:r>
        <w:rPr>
          <w:rFonts w:ascii="Times New Roman" w:hAnsi="Times New Roman"/>
          <w:color w:val="000000"/>
          <w:sz w:val="20"/>
        </w:rPr>
        <w:t>As part of the April 2025 Transactions, the Pre-Funded Warrants to purchase an aggregate of 2,251,695 shares of common stock at an exercise price of $0.001 per share are included within the denominator for basic net loss per share purposes and considered outstanding as of the date of issuance.</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The Company’s potential dilutive securities, which include stock options as of June 30, 2026 and 2025, have been excluded from the computation of diluted net loss per share attributable to common stockholders whenever the effect of including them would be to reduce the net loss per share. In periods where there is a net loss, the weighted average number of shares of common stock outstanding used to calculate both basic and diluted net loss per share attributable to common stockholders is the same. The following potential shares of common stock, presented based on amounts outstanding at each period end, were excluded from the calculation of diluted net loss per share attributable to common stockholders for the periods indicated because including them would have had an anti-dilutive effect: </w:t>
      </w:r>
    </w:p>
    <w:tbl>
      <w:tblPr>
        <w:tblW w:w="8079" w:type="dxa"/>
        <w:jc w:val="left"/>
        <w:tblInd w:w="0" w:type="dxa"/>
        <w:tblLayout w:type="fixed"/>
        <w:tblCellMar>
          <w:top w:w="28" w:type="dxa"/>
          <w:left w:w="28" w:type="dxa"/>
          <w:bottom w:w="28" w:type="dxa"/>
          <w:right w:w="28" w:type="dxa"/>
        </w:tblCellMar>
      </w:tblPr>
      <w:tblGrid>
        <w:gridCol w:w="5086"/>
        <w:gridCol w:w="146"/>
        <w:gridCol w:w="146"/>
        <w:gridCol w:w="1036"/>
        <w:gridCol w:w="146"/>
        <w:gridCol w:w="146"/>
        <w:gridCol w:w="146"/>
        <w:gridCol w:w="1036"/>
        <w:gridCol w:w="191"/>
      </w:tblGrid>
      <w:tr>
        <w:trPr/>
        <w:tc>
          <w:tcPr>
            <w:tcW w:w="5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3,065,029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to issue shares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11,346,839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6,616,499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X Preferred Stock issued and outstanding, as converted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12,232,000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12,232,000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27,124,836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21,913,528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14. Related Party Transactions</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On April 30, 2026, the Company entered into a letter agreement with Bios Partners, L.P., on behalf of certain Bios entities holding securities of the Company. Pursuant to the letter agreement, the Bios entities agreed to defer the conversion of 12,232 shares of the Company’s Series X Non-Voting Convertible Preferred Stock held by the Bios entities and waived the Company’s obligation under the Certificate of Designation of Series X Non-Voting Convertible Preferred Stock to reserve the shares of common stock issuable upon conversion of such preferred shares until the Company has amended its Restated Certificate of Incorporation to increase its authorized common stock. In addition, subject to certain exceptions, the Bios entities agreed not to sell, transfer or otherwise dispose of, directly or indirectly, any Series X Non-Voting Convertible Preferred Stock or the underlying shares of common stock for a period ending April 30, 2029.</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In consideration for the agreements and waivers of the Bios entities, the Company issued warrants to the Bios entities to purchase an aggregate of 3,000,000 shares of the Company’s common stock at an exercise price of $1.00 per share (the “Bios Warrants”). The Bios Warrants are exercisable beginning October 27, 2026, and expire on April 30, 2031. The Bios Warrants are subject to a 180-day lock-up period pursuant to FINRA Rule 5110(e).</w:t>
      </w:r>
    </w:p>
    <w:p>
      <w:pPr>
        <w:pStyle w:val="TextBody"/>
        <w:bidi w:val="0"/>
        <w:jc w:val="left"/>
        <w:rPr>
          <w:rFonts w:ascii="Times New Roman" w:hAnsi="Times New Roman"/>
          <w:b/>
          <w:color w:val="000000"/>
          <w:sz w:val="20"/>
        </w:rPr>
      </w:pPr>
      <w:r>
        <w:rPr>
          <w:rFonts w:ascii="Times New Roman" w:hAnsi="Times New Roman"/>
          <w:b/>
          <w:color w:val="000000"/>
          <w:sz w:val="20"/>
        </w:rPr>
        <w:t>15. Commitments and Contingencies</w:t>
      </w:r>
    </w:p>
    <w:p>
      <w:pPr>
        <w:pStyle w:val="TextBody"/>
        <w:bidi w:val="0"/>
        <w:spacing w:before="120" w:after="283"/>
        <w:jc w:val="both"/>
        <w:rPr>
          <w:rFonts w:ascii="Times New Roman" w:hAnsi="Times New Roman"/>
          <w:sz w:val="20"/>
        </w:rPr>
      </w:pPr>
      <w:r>
        <w:rPr>
          <w:rFonts w:ascii="Times New Roman" w:hAnsi="Times New Roman"/>
          <w:b/>
          <w:i/>
          <w:color w:val="000000"/>
          <w:sz w:val="20"/>
        </w:rPr>
        <w:t>Legal Proceedings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may from time to time be party to litigation arising in the ordinary course of business. As of June 30, 2026, the Company was not party to any legal proceedings and no material legal proceedings are currently pending or, to the best of the Company’s knowledge, threatened.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Intellectual Property Licenses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Harvard and Dana-Farber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August 2006, the Company entered into an exclusive license agreement with President and Fellows of Harvard College, or Harvard, and Dana-Farber Cancer Institute, or DFCI. The agreement granted the Company an exclusive worldwide license, with the right to sublicense, under specified patents and patent applications to develop, obtain regulatory approval for and commercialize specified product candidates based on cell-permeating peptides. Under the agreement, the Company is obligated to use commercially reasonable efforts to develop and commercialize one or more licensed products and to achieve specified milestone events by specified dates. In connection with entering into the agreement, the Company paid an upfront license fee and issued to Harvard and DFCI shares of its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February 2010, the agreement was amended and restated, or the Harvard/DFCI agreement, under which additional patent rights were added to the scope of the license agreement and the annual license maintenance fees were increased. Under the Harvard/DFCI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agreement, the Company is obligated to make aggregate milestones payments of up to $7,700 per licensed therapeutic product upon the Company’s achievement of specified clinical, regulatory and sales milestones with respect to such product and up to $700 per licensed diagnostic product upon the Company’s achievement of specified regulatory and sales milestones with respect to such product. In addition, the Company is obligated to pay royalties of low single-digit percentages on annual net sales of licensed products sold by the Company, its affiliates or its sublicensees. The royalties are payable on a product-by-product and country-by-country basis and may be reduced in specified circumstances. In addition, the agreement obligates the Company to pay a percentage, up to the mid-twenties, of fees received by the Company in connection with its sublicense of the licensed products. In accordance with the terms of the agreement, the Company’s sublicense payment obligations may be subject to specified reductions.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Harvard/DFCI agreement requires the Company to pay annual license maintenance fees of $110 each year, which was reduced to $35 starting in 2023. Any payments made in connection with the annual license maintenance fees will be credited against any royalties due.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the Company had not developed a commercial product using the licensed technologies and no royalties under the agreement had been paid or were due.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Harvard/DFCI agreement, the Company is responsible for all patent expenses related to the prosecution and maintenance of the licensed patents and applications in-licensed under the agreement as well as cost reimbursement of amounts incurred for all documented patent-related expenses. The agreement will expire on a product-by-product and country-by-country basis upon the last to expire of any valid patent claim pertaining to licensed products covered under the agreement. The Company incurred $18 license maintenance fees in the six months ended June 30, 2026 and 2025, respectively.</w:t>
      </w:r>
    </w:p>
    <w:p>
      <w:pPr>
        <w:pStyle w:val="TextBody"/>
        <w:bidi w:val="0"/>
        <w:spacing w:before="120" w:after="283"/>
        <w:jc w:val="both"/>
        <w:rPr>
          <w:rFonts w:ascii="Times New Roman" w:hAnsi="Times New Roman"/>
          <w:sz w:val="20"/>
        </w:rPr>
      </w:pPr>
      <w:r>
        <w:rPr>
          <w:rFonts w:ascii="Times New Roman" w:hAnsi="Times New Roman"/>
          <w:i/>
          <w:color w:val="000000"/>
          <w:sz w:val="20"/>
        </w:rPr>
        <w:t>Agreement with the University of Texas Health Science Center at Tyler</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June 2013, the Company entered into a patent and technology license agreement with UT System, on behalf of UTHSCT. The patent and technology license agreement with UT System, or the UTHSCT Agreement, provides the Company access to patents and technology related to the development of LTI-01 and LTI-03. As part of the UTHSCT Agreement, the Company has (i) a royalty-bearing, exclusive license under the patent rights to manufacture, distribute, and sell certain intellectual property; (ii) a non-exclusive license under the technology rights to manufacture, distribute and sell the licensed product; and (iii) a sublicensing right that allows the Company to grant sublicenses to affiliates and third parties to use the licensed product in the field of use and approved territories outlined in the UTHSCT Agreement. In December 2013, the UTHSCT Agreement was amended and restated to include certain patents in all fields worldwide. In May 2017, the UTHSCT Agreement was amended and restated to modify the specific milestone criteria.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consideration of the UTHSCT Agreement, the Company agreed to pay past and ongoing patent expenses, and the Company owes UTHSCT sublicensing fees, assignment fees, and single digit royalties on worldwide net product sales, with fixed minimum royalty payments that started in 2015.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the UTHSCT Agreement, the Company is required to use diligent efforts to commercialize the licensed technology as soon as commercially practicable, including maintaining active research and development, regulatory, marketing and sales program, all as commercially reasonable.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may terminate the UTHSCT Agreement for convenience with 90 days’ notice. UTHSCT may also terminate the UTHSCT Agreement, but only if the Company breaches the terms of the agreement. The Company did not incur any expense under the UTHSCT Agreement in the six months ended June 30, 2026 and 2025.</w:t>
      </w:r>
    </w:p>
    <w:p>
      <w:pPr>
        <w:pStyle w:val="TextBody"/>
        <w:bidi w:val="0"/>
        <w:spacing w:before="120" w:after="283"/>
        <w:jc w:val="both"/>
        <w:rPr>
          <w:rFonts w:ascii="Times New Roman" w:hAnsi="Times New Roman"/>
          <w:sz w:val="20"/>
        </w:rPr>
      </w:pPr>
      <w:r>
        <w:rPr>
          <w:rFonts w:ascii="Times New Roman" w:hAnsi="Times New Roman"/>
          <w:i/>
          <w:color w:val="000000"/>
          <w:sz w:val="20"/>
        </w:rPr>
        <w:t>Agreement with the University of Texas at Austin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May 2015, the Company entered into a patent license agreement with UT Austin on behalf of UT System. This license agreement with UT Austin, or the UT Austin 6607 Agreement, relates to the patent rights to polypeptide therapeutics and uses thereof. Pursuant to the UT Austin 6607 Agreement the Company has (i) a royalty-bearing, exclusive license under the patent rights to manufacture, distribute, and sell the licensed product; and (ii) a sublicensing right that allows the Company to grant sublicenses to affiliates and third parties to use the licensed product in the field of use and approved territories outlined in the agreement. The UT Austin 6607 Agreement was amended and restated in January 2017, November 2018, and June 2019. The amendments related to extension of milestone payment dates and specific terminology around the milestone achievement criteria.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consideration of the UT Austin 6607 Agreement, the Company agreed to pay past and ongoing patent expenses, milestone fees upon certain development and regulatory milestone events, annual license fees, tiered sublicense fees, assignment fees, low single digit royalties on net sales and a Food and Drug Administration, or FDA, Priority Review Voucher fee if the Company sells or transfers this voucher.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the UT Austin 6607 Agreement, the Company is required to use diligent efforts to commercialize the licensed products, including maintaining active research and development, regulatory, marketing and sales program. Moreover, the Company is required to meet certain development and regulatory milestones by specific 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may terminate the UT Austin 6607 Agreement for convenience with 90 days’ notice. UT Austin may also terminate the UT Austin 6607 Agreement, but only if the Company breaches the terms of the agreement. The Company did not incur any expense under the UT Austin 6607 Agreement in the six months ended June 30, 2026 and 2025.</w:t>
      </w:r>
    </w:p>
    <w:p>
      <w:pPr>
        <w:pStyle w:val="TextBody"/>
        <w:bidi w:val="0"/>
        <w:spacing w:before="120" w:after="283"/>
        <w:jc w:val="both"/>
        <w:rPr>
          <w:rFonts w:ascii="Times New Roman" w:hAnsi="Times New Roman"/>
          <w:sz w:val="20"/>
        </w:rPr>
      </w:pPr>
      <w:r>
        <w:rPr>
          <w:rFonts w:ascii="Times New Roman" w:hAnsi="Times New Roman"/>
          <w:i/>
          <w:color w:val="000000"/>
          <w:sz w:val="20"/>
        </w:rPr>
        <w:t>Agreement with Medical University of South Carolina</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March 2016, the Company entered into a license agreement with Medical University of South Carolina Foundation for Research Development, or MUSC. Pursuant to this license agreement with MUSC, or the MUSC Agreement, the Company has patent rights related to protecting against lung fibrosis by up regulating Cav1. The MUSC Agreement granted (i) a royalty-bearing, exclusive license under the patent rights to make, use and sell the license product; and (ii) a sublicensing right that allows the Company to grant sublicenses to affiliates and third parties to use the licensed product in the field of use and approved territories outlined in the agreement. In September 2018, the agreement was amended and restated to include definitions of related methods, related products and related rights.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consideration of the MUSC Agreement, the Company agreed to pay a non-refundable license fee, patent expenses, milestone fees upon certain development, regulatory and commercial milestone events, sublicense fees, assignment fees and low single digit royalties on net sales, with a fixed minimum royalty payment starting in 2019 and a transaction fee upon the Company’s liquidation.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MUSC Agreement, the Company is required to use diligent efforts to develop, manufacture and sell the licensed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may terminate the MUSC Agreement for convenience by providing a written notice to MUSC effective 90 days following the receipt of notice, and either party may terminate the agreement for a breach of contract. The Company did not incur any license fees under the MUSC Agreement in the six months ended June 30, 2026 and 2025.</w:t>
      </w:r>
    </w:p>
    <w:p>
      <w:pPr>
        <w:pStyle w:val="TextBody"/>
        <w:bidi w:val="0"/>
        <w:spacing w:before="120" w:after="283"/>
        <w:jc w:val="both"/>
        <w:rPr>
          <w:rFonts w:ascii="Times New Roman" w:hAnsi="Times New Roman"/>
          <w:sz w:val="20"/>
        </w:rPr>
      </w:pPr>
      <w:r>
        <w:rPr>
          <w:rFonts w:ascii="Times New Roman" w:hAnsi="Times New Roman"/>
          <w:i/>
          <w:color w:val="000000"/>
          <w:sz w:val="20"/>
        </w:rPr>
        <w:t>Agreement with Vivarta Therapeutics LLC</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March 2018, the Company entered into a license agreement with Vivarta Therapeutics, LLC, or Vivarta. This license agreement with Vivarta, or the Vivarta Agreement, relates to intellectual property relating to epithelial sodium channel inhibitors and methods to treat pulmonary disease. Pursuant to the Vivarta Agreement the Company has (i) a royalty-bearing, exclusive license under the intellectual property rights to make, use and sell the licensed product, and (ii) a sublicensing right that allows the Company to grant sublicenses to affiliates and third parties to use the licensed product in the field of use and approved territories outlined in the agreement.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consideration for the Vivarta Agreement, the Company agreed to grant Vivarta a warrant to purchase an aggregate of 75,000 shares of common stock of Lung for $0.12 per share, to pay a license fee of $10,000 upon the Vivarta Agreement effective date and $40,000 within 30 days of the receipt of a positive freedom to operate analysis from legal counsel. The Company also agreed to pay patent expenses, milestone fees upon certain development and regulatory milestone events, sublicense fees, assignment fees and low single digit royalties on net sales.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the Vivarta Agreement, the Company is required to use diligent efforts to develop, manufacture and sell the licensed products.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may terminate the Vivarta Agreement for convenience by providing a written notice to Vivarta effective 90 days following the receipt of notice, and either party may terminate the agreement for a breach of contract. The Company did not incur any expenses under the Vivarta Agreement in the six months ended June 30, 2026 and 2025.</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Letter Agreement with Rients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August 2025, the Company entered into a letter agreement with Rients for Rients to evaluate the legacy ALRN-6924 compound, or the Compound Asset. During the term of the letter agreement, Rients shall pay the Company for all fees and expenses incurred by the Company to maintain the Compound Asset.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letter agreement was terminated in May 2026.</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Project Addendum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2025, the Company entered into a project addendum with a third party Contract Research Organization, or CRO, for the purposes of setting forth the responsibilities and obligations of the parties in regards to conducting a certain clinical research program entitled “A Phase 2, Randomized, Double-Blind, Placebo-Controlled Study of the Safety, Tolerability and Efficacy of Caveolin-1-Scaffolding-Protein-Derived Peptide in Patients with IPF” under the Company’s Protocol LTI-03-2001. Pursuant to the project addendum and the contract modification signed in July 2026, the Company has contracted to receive up to $20.8 million of master services as the Company may request from time to time at its discretion.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Indemnification Agreements</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indemnification agreements with members of its board of directors and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As of the date of this report, the Company has not incurred any material costs or claims as a result of such indemnifications.</w:t>
      </w:r>
    </w:p>
    <w:p>
      <w:pPr>
        <w:pStyle w:val="TextBody"/>
        <w:bidi w:val="0"/>
        <w:jc w:val="both"/>
        <w:rPr>
          <w:rFonts w:ascii="Times New Roman" w:hAnsi="Times New Roman"/>
          <w:b/>
          <w:color w:val="000000"/>
          <w:sz w:val="20"/>
        </w:rPr>
      </w:pPr>
      <w:r>
        <w:rPr>
          <w:rFonts w:ascii="Times New Roman" w:hAnsi="Times New Roman"/>
          <w:b/>
          <w:color w:val="000000"/>
          <w:sz w:val="20"/>
        </w:rPr>
        <w:t>16. Segment Reporting</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Company has one reportable segment which focuses on developing novel therapies for the treatment of orphan pulmonary and fibrosis indications with no approved or limited effective treatments. The Company’s CODM, the CEO, manages the Company’s operations on a consolidated basis as one operating segment for the purposes of evaluating financial performance and allocating resources.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has not generated any revenue yet. The CODM assesses the financial performance of the segment and decides how to allocate resources based on net loss on a consolidated basis. The measure of segment assets is reported on the consolidated balance sheets as total consolidated assets.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CODM uses net loss predominantly in the annual operating budget and in the strategic planning and forecasting process. Such loss measure is used to monitor budget versus actual results on an ongoing basis by the CODM and determine how resources are allocated to the various activities of the Company. The CODM also uses net loss to evaluate the Company’s performance and assist in determination of management’s incentive compensation.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All of the Company’s tangible assets are held in the United States. The Company views its operations and manages its business in one operating segment operating exclusively in the United States.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table below is a summary of the segment loss, including significant segment expenses:</w:t>
      </w:r>
    </w:p>
    <w:tbl>
      <w:tblPr>
        <w:tblW w:w="9772" w:type="dxa"/>
        <w:jc w:val="left"/>
        <w:tblInd w:w="0" w:type="dxa"/>
        <w:tblLayout w:type="fixed"/>
        <w:tblCellMar>
          <w:top w:w="28" w:type="dxa"/>
          <w:left w:w="28" w:type="dxa"/>
          <w:bottom w:w="28" w:type="dxa"/>
          <w:right w:w="28" w:type="dxa"/>
        </w:tblCellMar>
      </w:tblPr>
      <w:tblGrid>
        <w:gridCol w:w="3741"/>
        <w:gridCol w:w="446"/>
        <w:gridCol w:w="211"/>
        <w:gridCol w:w="631"/>
        <w:gridCol w:w="446"/>
        <w:gridCol w:w="446"/>
        <w:gridCol w:w="211"/>
        <w:gridCol w:w="631"/>
        <w:gridCol w:w="166"/>
        <w:gridCol w:w="146"/>
        <w:gridCol w:w="211"/>
        <w:gridCol w:w="736"/>
        <w:gridCol w:w="166"/>
        <w:gridCol w:w="146"/>
        <w:gridCol w:w="211"/>
        <w:gridCol w:w="736"/>
        <w:gridCol w:w="491"/>
      </w:tblGrid>
      <w:tr>
        <w:trPr/>
        <w:tc>
          <w:tcPr>
            <w:tcW w:w="374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LTI-01 program-related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CMC activities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operation activities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LTI-01 program-related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LTI-03 program-related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Preclinical study costs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CMC activities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operation activities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LTI-03 program-related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program-related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related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Professional fees for services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Facilities and other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7,346</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related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Professional fees for services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Facilities and other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general and administrative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5,134</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and consolidated net loss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(6,375</w:t>
            </w:r>
          </w:p>
        </w:tc>
        <w:tc>
          <w:tcPr>
            <w:tcW w:w="4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(12,323</w:t>
            </w:r>
          </w:p>
        </w:tc>
        <w:tc>
          <w:tcPr>
            <w:tcW w:w="4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17. Subsequent Event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On July 20, 2026, the Company held its 2026 Annual Meeting of Stockholders, which approved an amendment to its restated certificate of incorporation to increase the number of authorized shares of common stock from 100,000,000 shares to 200,000,000 shares.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August 3, 2026, the Compensation Committee of the Board of Directors approved the grant of 500,000 restricted stock units pursuant to the Company's 2021 Stock Incentive Plan in exchange for consulting services. Each restricted stock unit represents the right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to receive one share of the Company's common stock upon settlement. The restricted stock units were settled on August 3, 2026, and upon the settlement, the Company issued an aggregate of 500,000 shares of its common stock.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evaluated subsequent events through the date of filing of this Quarterly Report on Form 10-Q and determined that no other events have occurred that would require adjustment to or disclosure in the unaudited condensed financial statements.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both"/>
        <w:rPr>
          <w:rFonts w:ascii="Times New Roman" w:hAnsi="Times New Roman"/>
          <w:sz w:val="20"/>
        </w:rPr>
      </w:pPr>
      <w:r>
        <w:rPr>
          <w:rFonts w:ascii="Times New Roman" w:hAnsi="Times New Roman"/>
          <w:i/>
          <w:color w:val="000000"/>
          <w:sz w:val="20"/>
        </w:rPr>
        <w:t>The following discussion and analysis are meant to provide material information relevant to an assessment of the financial condition and results of operations of our Company, including an evaluation of the amounts and certainty of cash flows from operations and from outside sources, so as to allow investors to better view our Company from management’s perspective. You should read the following discussion and analysis of our financial condition and results of operations together with ou</w:t>
      </w:r>
      <w:r>
        <w:rPr>
          <w:rFonts w:ascii="Times New Roman" w:hAnsi="Times New Roman"/>
          <w:i/>
          <w:color w:val="231F20"/>
          <w:sz w:val="20"/>
        </w:rPr>
        <w:t xml:space="preserve">r unaudited condensed consolidated financial statements for the quarter ended June 30, 2026, included elsewhere in this Quarterly Report on Form 10-Q. </w:t>
      </w:r>
      <w:r>
        <w:rPr>
          <w:rFonts w:ascii="Times New Roman" w:hAnsi="Times New Roman"/>
          <w:i/>
          <w:color w:val="000000"/>
          <w:sz w:val="20"/>
        </w:rPr>
        <w:t xml:space="preserve">In addition to historical information, this discussion and analysis contains forward-looking statements that involve risks, uncertainties and assumptions. Our actual results may differ materially from those anticipated in these forward-looking statements as a result of certain factors. We discuss factors that we believe could cause or contribute to these differences below and elsewhere in this report, including those set forth under </w:t>
      </w:r>
      <w:r>
        <w:rPr>
          <w:rFonts w:ascii="Times New Roman" w:hAnsi="Times New Roman"/>
          <w:i/>
          <w:color w:val="231F20"/>
          <w:sz w:val="20"/>
        </w:rPr>
        <w:t>Item 1A. "Risk Factors" in the Company’s Annual Report for the fiscal year ended December 31, 2025 filed with the SEC on March 26, 2026 (the “Annual Report”).</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Overview and Recent Developments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clinical stage biopharmaceutical company focused on developing novel therapies for the treatment of orphan pulmonary and fibrosis indications with no approved or limited effective treatments. We currently have one lead product candidate in clinical development, LTI-03. Our pipeline includes: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LTI-03, a peptide, for which we conducted a Phase 1b dose-ranging, placebo-controlled safety, tolerability, and pharmacodynamic biomarker activity trial in development for the treatment of Idiopathic Pulmonary Fibrosis, or IPF, that has demonstrated the ability to protect healthy lung epithelial cells and reduce pro-fibrotic signaling;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LTI-01, a proenzyme that completed a Phase 2a dose-ranging, placebo-controlled trial and a Phase 1b safety, tolerability and proof of mechanism trial in loculated pleural effusion, or LPE, patients, an indication that has no approved drug treatment;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preclinical programs targeting cystic fibrosis and a peptide program focused on the Cav1 protein for systemic fibrosis indications.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fourth quarter of 2025, we decided to pause development activities related to LTI-01 for an indefinite period.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May 2025, we initiated screening and recruitment of patients in the RENEW Phase 2 clinical trial of LTI-03. The RENEW trial is a Phase 2 multi-center, randomized, double-blind, placebo-controlled study evaluating the safety, tolerability, and efficacy of LTI-03 patients with IPF. In addition, the trial is designed to assess the activity of inhaled dry powder LTI-03 across multiple biomarkers and to measure lung function and the potential for healthy tissue regeneration. The trial is designed to enroll approximately 120 patients diagnosed with IPF within 5 years of screening, who may be receiving standard of care antifibrotic therapy, across up to 50 sites globally, including sites in the United States, United Kingdom, Germany, Australia and Poland. Patients will be randomized into two blinded placebo-controlled cohorts that will run concurrently. Patients in the low dose cohort will receive 2.5 mg of either LTI-03 or placebo administered twice daily, or BID, for a total dose of 5 mg/day, while participants in the high dose cohort will receive 5 mg BID for a total dose of 10 mg/day. The primary endpoint is the incidence of treatment-emergent adverse events from Day 1 through Week 24. The key secondary endpoint is the efficacy of LTI-03 measured through forced vital capacity, percent predicted FVC and high-resolution computer tomography, in collaboration with Qureight Ltd. Patients will undergo a 28-day screening period prior to being randomized and entering the 24-week treatment period, with a four-week follow-up.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October 2025, we received authorization from the European Medicines Agency, or the EMA, to initiate our Phase 2 RENEW trial of our lead candidate, LTI-03, at sites in Germany and Poland. We had previously received regulatory clearance from the U.K.’s Medicines and Healthcare products Regulatory Agency, or the MHRA. In January 2026, we received orphan drug designation from the EMA for LTI-03.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the date of this Quarterly Report, we activated sites and are seeking to enroll patients in all countries in the trial. In March 2026, we dosed our first patient in the RENEW Phase 2 clinical trial of LTI-03. We expect to report initial interim data on some proportion of patients in the fourth quarter of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not completed the development of any of our product candidates, have not generated any revenue from product sales and have never generated an operating profit.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 May 2026, we completed an underwritten public offering of 57,500,000 shares of our common stock at a public offering price of $1.00 per share, or the May 2026 Offering. Aggregate gross proceeds from the May 2026 Offering were approximately $57.5 million, and net proceeds to the Company were approximately $53.1 million after deducting underwriting discounts, commissions, and offering expenses of approximately $4.4 million. As of June 30, 2026, we had $43.6 million in cash, cash equivalents and investments. </w:t>
      </w:r>
    </w:p>
    <w:p>
      <w:pPr>
        <w:pStyle w:val="TextBody"/>
        <w:bidi w:val="0"/>
        <w:jc w:val="both"/>
        <w:rPr>
          <w:rFonts w:ascii="Times New Roman" w:hAnsi="Times New Roman"/>
          <w:color w:val="000000"/>
          <w:sz w:val="20"/>
        </w:rPr>
      </w:pPr>
      <w:r>
        <w:rPr>
          <w:rFonts w:ascii="Times New Roman" w:hAnsi="Times New Roman"/>
          <w:color w:val="000000"/>
          <w:sz w:val="20"/>
        </w:rPr>
        <w:t xml:space="preserve">Since our inception, we have incurred significant losses on an aggregate basis. Our net losses were $6.4 million and $6.8 million for the three months ended June 30, 2026 and 2025, respectively. As of June 30, 2026, we had an accumulated deficit of $413.5 million. These losses have resulted primarily from costs incurred in connection with research and development activities, licensing and patent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investment and general and administrative costs associated with our operations as well as the impairment loss on intangible assets. We expect to continue to incur operating losses for the foreseeable future.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June 30, 2026, we had cash, cash equivalents and investments of $43.6 million. Based on our current operating plan, we believe that our existing cash, cash equivalents and investments as of June 30, 2026 will be sufficient to enable us to fund our planned operating expense and capital expenditure requirements into the first quarter of 2028. We also believe the funds will be sufficient to enable us to complete the Phase 2 RENEW clinical trial of LTI-03.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Master Services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April 2025, we entered into a master services agreement with a third party Contract Research Organization, or CRO, under which the CRO has agreed to perform certain services in accordance with written work orders. The work orders set forth the obligations of the parties with regard to conducting the clinical research study entitled “A Randomized, Double-Blind, Placebo-Controlled, Phase 2, Safety, Tolerability and Efficacy Study of Caveolin1-Scaffolding-Protein-Derived Peptide (LTI-03) in Patients with IPF”, under our Protocol LTI-03-2001. Pursuant to the agreement, we had contracted for up to $17.0 million of master services. In August 2025, this master services agreement was terminated with less than $0.4 million of future commitment for the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2025, we entered into a project addendum with a third party CRO for the purposes of setting forth the responsibilities and obligations of the parties in regards to conducting a certain clinical research program entitled “A Phase 2, Randomized, Double-Blind, Placebo-Controlled Study of the Safety, Tolerability and Efficacy of Caveolin-1-Scaffolding-Protein-Derived Peptide in Patients with IPF” under our Protocol LTI-03-2001. Pursuant to the project addendum and the contract modification signed in July 2026, we have contracted to receive up to $20.8 million of master services as we may request from time to time at our discretion.</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Components of Our Results of Operations</w:t>
      </w:r>
    </w:p>
    <w:p>
      <w:pPr>
        <w:pStyle w:val="TextBody"/>
        <w:bidi w:val="0"/>
        <w:spacing w:before="160" w:after="283"/>
        <w:jc w:val="both"/>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not generated any revenue from product sales and we do not expect to generate any revenue from the sale of products in the foreseeable future.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expenses since inception have consisted solely of research and development costs, general and administrative, and restructuring costs.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the periods presented in this Quarterly Report on Form 10-Q, research and development expenses consist primarily of costs incurred for our research activities, including our discovery efforts, and the development of our product candidates, and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salaries, benefits and other related costs, including stock-based compensation expense, for personnel engaged in research and development functions;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in connection with the clinical development of our product candidates, including under agreements with third parties, such as consultants and CROs;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manufacturing product candidates for use in our clinical trials and preclinical studies, including under agreements with third parties, such as consultants and contract manufacturing organizations, or CMOs;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in connection with the preclinical development of our product candidates, including outsourced professional scientific development services, consulting research fees and payments made under sponsored research arrangements with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laboratory supplies and acquiring, developing and manufacturing preclinical study and clinical trial materials;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license fees;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compliance with regulatory requirements;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facility-related expenses, which included direct depreciation costs and allocated expenses for rent and maintenance of facilities and other operating costs.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expense research and development costs as incurred. We recognize costs for certain development activities, such as clinical trials, based on an evaluation of the progress to completion of specific tasks using data such as patient enrollment, clinical site activations or information provided to us by our vendors and our clinical investigative sites. Payments for these activities are based on the terms of the individual agreements, which may differ from the pattern of costs incurred, and are reflected in our financial statements as prepaid or accrued research and development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we typically use our employee and infrastructure resources across our development programs. We track outsourced development costs and milestone payments made under our licensing arrangements by product candidate or development program, but we do not allocate personnel costs, license payments made under our licensing arrangements or other internal costs to specific development programs or product candidates because these costs are deployed across multiple programs and, as such, are not separately classified.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activities are central to our business model. The duration, costs and timing of clinical trials and development of a product candidate will depend on a variety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rate of progress, expense and results of clinical trials of the product candidates that we are developing and other research and development activities that we have conducted;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uncertainties in clinical trial design and patient enrollment rates;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and changing government regulation and regulatory guidance;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receipt of any marketing approvals;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expense of filing, prosecuting, defending and enforcing any patent claims and other intellectual property rights.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anticipated would be required for the completion of clinical development of a product candidate, or if we experience significant trial delays due to patient enrollment or other reasons, we could be required to expend significant additional financial resources and time on the completion of clinical development.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and administrative expenses consist primarily of salaries and other related costs, including stock-based compensation, for personnel in our executive, finance and corporate and administrative functions. General and administrative expenses are comprised of professional fees associated with being a public company including costs of accounting, auditing, legal, regulatory, tax and consulting services associated with maintaining compliance with exchange listing and the SEC requirements, director and officer insurance costs; and both public and investor relations costs. General and administrative expenses also include legal fees relating to patent and corporate matters; legal and other professional fees relating to our strategic process; other insurance costs; travel expenses; and facility-related expenses, which include direct depreciation costs and allocated expenses for rent and maintenance of facilities and other operating costs. </w:t>
      </w:r>
    </w:p>
    <w:p>
      <w:pPr>
        <w:pStyle w:val="TextBody"/>
        <w:bidi w:val="0"/>
        <w:spacing w:before="160" w:after="283"/>
        <w:jc w:val="both"/>
        <w:rPr>
          <w:rFonts w:ascii="Times New Roman" w:hAnsi="Times New Roman"/>
          <w:sz w:val="20"/>
        </w:rPr>
      </w:pPr>
      <w:r>
        <w:rPr>
          <w:rFonts w:ascii="Times New Roman" w:hAnsi="Times New Roman"/>
          <w:b/>
          <w:i/>
          <w:color w:val="000000"/>
          <w:sz w:val="20"/>
        </w:rPr>
        <w:t>Other (Expense) Income, net</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Interest and Other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Interest income consists of interest income earned on our cash, cash equivalents and investments. Historically, our interest income had not been significant due to low investment balances and low interest earned on those balances. We anticipate that our interest income will fluctuate in the future in response to our cash, cash equivalents and investments and the interest rate environment.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(expense) income, net consists of the income recognized under the Option Agreement with Advancium, gains or losses recognized from non-routine items such as accretion on short-term investments, and gains or losses recognized from foreign currency transactions, original issue discount, or OID, related to the PPA, the promissory notes, and the disposal of fixed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anticipate that our interest income and investment accretion will fluctuate in the future in response to our then-current cash, cash equivalents and investments, and then-current interest rates.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results of operations for the three months ended June 30, 2026 and 2025:</w:t>
      </w:r>
    </w:p>
    <w:p>
      <w:pPr>
        <w:pStyle w:val="TextBody"/>
        <w:bidi w:val="0"/>
        <w:jc w:val="both"/>
        <w:rPr/>
      </w:pPr>
      <w:r>
        <w:rPr/>
        <w:t> </w:t>
      </w:r>
    </w:p>
    <w:tbl>
      <w:tblPr>
        <w:tblW w:w="6763" w:type="dxa"/>
        <w:jc w:val="left"/>
        <w:tblInd w:w="0" w:type="dxa"/>
        <w:tblLayout w:type="fixed"/>
        <w:tblCellMar>
          <w:top w:w="28" w:type="dxa"/>
          <w:left w:w="28" w:type="dxa"/>
          <w:bottom w:w="28" w:type="dxa"/>
          <w:right w:w="28" w:type="dxa"/>
        </w:tblCellMar>
      </w:tblPr>
      <w:tblGrid>
        <w:gridCol w:w="2561"/>
        <w:gridCol w:w="146"/>
        <w:gridCol w:w="239"/>
        <w:gridCol w:w="716"/>
        <w:gridCol w:w="188"/>
        <w:gridCol w:w="165"/>
        <w:gridCol w:w="239"/>
        <w:gridCol w:w="716"/>
        <w:gridCol w:w="166"/>
        <w:gridCol w:w="146"/>
        <w:gridCol w:w="264"/>
        <w:gridCol w:w="606"/>
        <w:gridCol w:w="611"/>
      </w:tblGrid>
      <w:tr>
        <w:trPr/>
        <w:tc>
          <w:tcPr>
            <w:tcW w:w="2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4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(6,076</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(6,375</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for the three months ended June 30, 2026 were $3.6 million, compared to $4.3 million for the three months ended June 30, 2025. Direct research and development services costs decreased $0.7 million as compared to the three months ended June 30, 2025 mainly due to the timing of services provided by the third party CRO.</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General and administrative expenses were $2.4 million for the three months ended June 30, 2026, compared to $2.6 million for the three months ended June 30, 2025. The decrease of $0.2 million in the three months ended June 30, 2026 as compared to the three months ended June 30, 2025 was primarily due to decreased employee related expenses of less than $0.1 million as a result of a decrease in stock-based compensation expense, and decreased facilities and other expenses of less than $0.1 million.</w:t>
      </w:r>
    </w:p>
    <w:p>
      <w:pPr>
        <w:pStyle w:val="TextBody"/>
        <w:bidi w:val="0"/>
        <w:jc w:val="both"/>
        <w:rPr>
          <w:rFonts w:ascii="Times New Roman" w:hAnsi="Times New Roman"/>
          <w:i/>
          <w:color w:val="000000"/>
          <w:sz w:val="20"/>
        </w:rPr>
      </w:pPr>
      <w:r>
        <w:rPr>
          <w:rFonts w:ascii="Times New Roman" w:hAnsi="Times New Roman"/>
          <w:i/>
          <w:color w:val="000000"/>
          <w:sz w:val="20"/>
        </w:rPr>
        <w:t>Other (Expense) Income, net</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Other (expense) income, net of $0.3 million for the three months ended June 30, 2026 primarily consisted of interest expense as a result of the amortization of discount on notes payable related to the promissory notes, offset by interest income in our then-current cash, cash equivalents and investments. We anticipate that our interest income and investment accretion will fluctuate in the future in response to our then-current cash, cash equivalents and investments, and then-current interest rates.</w:t>
      </w:r>
    </w:p>
    <w:p>
      <w:pPr>
        <w:pStyle w:val="TextBody"/>
        <w:bidi w:val="0"/>
        <w:jc w:val="both"/>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results of operations for the six months ended June 30, 2026 and 2025:</w:t>
      </w:r>
    </w:p>
    <w:p>
      <w:pPr>
        <w:pStyle w:val="TextBody"/>
        <w:bidi w:val="0"/>
        <w:jc w:val="left"/>
        <w:rPr/>
      </w:pPr>
      <w:r>
        <w:rPr/>
        <w:t> </w:t>
      </w:r>
    </w:p>
    <w:tbl>
      <w:tblPr>
        <w:tblW w:w="6706" w:type="dxa"/>
        <w:jc w:val="left"/>
        <w:tblInd w:w="0" w:type="dxa"/>
        <w:tblLayout w:type="fixed"/>
        <w:tblCellMar>
          <w:top w:w="28" w:type="dxa"/>
          <w:left w:w="28" w:type="dxa"/>
          <w:bottom w:w="28" w:type="dxa"/>
          <w:right w:w="28" w:type="dxa"/>
        </w:tblCellMar>
      </w:tblPr>
      <w:tblGrid>
        <w:gridCol w:w="2561"/>
        <w:gridCol w:w="146"/>
        <w:gridCol w:w="211"/>
        <w:gridCol w:w="736"/>
        <w:gridCol w:w="166"/>
        <w:gridCol w:w="146"/>
        <w:gridCol w:w="211"/>
        <w:gridCol w:w="736"/>
        <w:gridCol w:w="166"/>
        <w:gridCol w:w="146"/>
        <w:gridCol w:w="218"/>
        <w:gridCol w:w="652"/>
        <w:gridCol w:w="611"/>
      </w:tblGrid>
      <w:tr>
        <w:trPr/>
        <w:tc>
          <w:tcPr>
            <w:tcW w:w="2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expenses for the six months ended June 30, 2026 were $6.7 million, compared to $7.3 million for the six months ended June 30, 2025. The decrease was primarily due to the timing of services provided by the third party CRO. During the six months ended June 30, 2026, we spent $4.2 million on clinical trials, $1.1 million on manufacturing, $1.0 million on employee and related expenses, $0.3 million on regulatory and development consulting and less than $0.1 million on facilities and other expenses. During the six months ended June 30, 2025, we spent $3.8 million on clinical trials, $1.9 million on manufacturing, and $0.5 million on regulatory and development consulting as well as $1.1 million on employee and related expenses.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General and administrative expenses were $4.6 million for the six months ended June 30, 2026, compared to $5.1 million for the six months ended June 30, 2025. The decrease of $0.5 million in the six months ended June 30, 2026 as compared to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six months ended June 30, 2025 was primarily due to decreased professional fees of $0.3 million as a result of a decrease in legal expense and decreased employee and related expenses of $0.2 million as a result of a decrease in stock-based compensation expense.</w:t>
      </w:r>
    </w:p>
    <w:p>
      <w:pPr>
        <w:pStyle w:val="TextBody"/>
        <w:bidi w:val="0"/>
        <w:jc w:val="both"/>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Other (expense) income, net of $0.9 million for the six months ended June 30, 2026 primarily consisted of interest expense as a result of the amortization of discount on notes payable related to the promissory notes, offset by interest income in our then-current cash, cash equivalents and investments. Other (expense) income, net for the six months ended June 30, 2025 primarily consisted of interest income and accretion in our then-current cash, cash equivalents and investments.</w:t>
      </w:r>
    </w:p>
    <w:p>
      <w:pPr>
        <w:pStyle w:val="TextBody"/>
        <w:bidi w:val="0"/>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Since inception, we have not generated any revenue from product sales and have incurred significant operating losses and negative cash flows from operations. We expect to continue to incur significant expenses and operating losses for the foreseeable future as we advance the clinical development of our lead product candidate, LTI-03, or any future product candidates. We expect that our research and development and general and administrative costs will continue to increase significantly, including in connection with conducting clinical trials and manufacturing for our lead product candidates or any future product candidates to support potential future commercialization and providing general and administrative support for our operations, including the costs associated with operating as a public company.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As of June 30, 2026, we had cash, cash equivalents and investments of $43.6 million. Based on our current operating plan, we believe that our existing cash, cash equivalents and investments as of June 30, 2026 will be sufficient to enable us to fund our planned operating expense and capital expenditure requirements into the first quarter of 2028. However, our future capital requirements and the adequacy of our available funds will depend on many factors, including our ability to successfully advance the clinical development of LTI-03 or any future product candidates. If we are not able to generate sufficient revenue in a timeframe that satisfies our cash needs, we will need to raise more capital. In the event we require additional capital, we will endeavor to acquire additional funds through various financing sources, including our ATM, follow-on equity offerings, debt financing and joint ventures with industry partners. In addition, we will consider alternatives to our current business plan that may enable us to achieve revenue-producing operations and meaningful commercial success with a smaller amount of capital. If we are unable to secure additional capital, we may be required to curtail our research and development initiatives and take additional measures to reduce costs in order to conserve cash.</w:t>
      </w:r>
    </w:p>
    <w:p>
      <w:pPr>
        <w:pStyle w:val="TextBody"/>
        <w:bidi w:val="0"/>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sources and uses of cash for each of the periods presented:</w:t>
      </w:r>
    </w:p>
    <w:p>
      <w:pPr>
        <w:pStyle w:val="TextBody"/>
        <w:bidi w:val="0"/>
        <w:jc w:val="both"/>
        <w:rPr/>
      </w:pPr>
      <w:r>
        <w:rPr/>
        <w:t> </w:t>
      </w:r>
    </w:p>
    <w:tbl>
      <w:tblPr>
        <w:tblW w:w="7829" w:type="dxa"/>
        <w:jc w:val="left"/>
        <w:tblInd w:w="0" w:type="dxa"/>
        <w:tblLayout w:type="fixed"/>
        <w:tblCellMar>
          <w:top w:w="28" w:type="dxa"/>
          <w:left w:w="28" w:type="dxa"/>
          <w:bottom w:w="28" w:type="dxa"/>
          <w:right w:w="28" w:type="dxa"/>
        </w:tblCellMar>
      </w:tblPr>
      <w:tblGrid>
        <w:gridCol w:w="5086"/>
        <w:gridCol w:w="146"/>
        <w:gridCol w:w="211"/>
        <w:gridCol w:w="736"/>
        <w:gridCol w:w="166"/>
        <w:gridCol w:w="146"/>
        <w:gridCol w:w="211"/>
        <w:gridCol w:w="736"/>
        <w:gridCol w:w="391"/>
      </w:tblGrid>
      <w:tr>
        <w:trPr/>
        <w:tc>
          <w:tcPr>
            <w:tcW w:w="5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six months ended June 30, 2026, net cash used in operating activities was $12.1 million primarily due to our net loss of $12.2 million and cash used in the change in operating assets and liabilities of $1.7 million, offset by non-cash charges of $1.8 million. Non-cash charges resulted primarily from non-cash warrant issuance cost of $0.4 million, net amortization of discount on notes payable of $1.1 million and stock-based compensation expense of $0.3 million. Changes in our operating assets and liabilities during the six months ended June 30, 2026 consisted primarily of an increase of $1.7 million in other non-current assets, a decrease of $0.7 million in accrued expenses and other current liabilities, offset by an increase of $0.4 million in accounts payable and a decrease of $0.3 million in prepaid expenses and other current assets.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2025, net cash used in operating activities was $12.6 million primarily due to our net loss of $12.3 million and cash used in the change in operating assets and liabilities of $0.8 million, offset by non-cash charges of $0.5 million. Non-cash charges resulted primarily from stock-based compensation expense of $0.5 million. Changes in our operating assets and liabilities during the six months ended June 30, 2025 consisted primarily of a decrease of $3.5 million in other long-term liabilities and accrued expenses and other current liabilities, an increase of $2.3 million in other non-current assets, and an increase of $0.1 million in prepaid expenses and other current assets, offset by an increase of $5.1 million in accounts payable.</w:t>
      </w:r>
    </w:p>
    <w:p>
      <w:pPr>
        <w:pStyle w:val="TextBody"/>
        <w:bidi w:val="0"/>
        <w:spacing w:before="120" w:after="283"/>
        <w:jc w:val="both"/>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2026, net cash used in investing activities was $35.1 million primarily due to our short term investments of $32.1 million and long term investments of $3.0 million. There was no cash used in or provided by investing activities during the six months ended June 30, 2025.</w:t>
      </w:r>
    </w:p>
    <w:p>
      <w:pPr>
        <w:pStyle w:val="TextBody"/>
        <w:bidi w:val="0"/>
        <w:spacing w:before="120" w:after="283"/>
        <w:jc w:val="both"/>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six months ended June 30, 2026, net cash provided by financing activities was $52.5 million primarily due to the net proceeds from the May 2026 Offering described above, offset by the discount on notes payable that were received and repaid during the six months ended June 30, 2026.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2025, net cash provided by financing activities was $5.5 million primarily due to the April 2025 Transactions described above.</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Contractual and other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enter into contracts in the normal course of business with CROs for clinical and preclinical research studies, external manufacturers for product for use in our clinical trials, and other research supplies and other services as part of our operations. These contracts generally provide for termination on notice, and therefore are cancelable contracts.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2025, we entered into a project addendum with a third party CRO for the purposes of setting forth the responsibilities and obligations of the parties in regards to conducting a certain clinical research program entitled “A Phase 2, Randomized, Double-Blind, Placebo-Controlled Study of the Safety, Tolerability and Efficacy of Caveolin-1-Scaffolding-Protein-Derived Peptide in Patients with IPF” under our Protocol LTI-03-2001. Pursuant to the project addendum and the contract modification signed in July 2026, we had contracted for up to $20.8 million of master services.</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management’s discussion and analysis of financial condition and results of operations is based on our consolidated financial statements, which have been prepared in accordance with generally accepted accounting principles in the United States. The preparation of our consolidated financial statements and related disclosures requires us to make estimates and assumptions that affect the reported amounts of assets and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and six months ended June 30, 2026, there were no material changes to the items that we disclosed as our critical accounting estimates in “Management’s Discussion and Analysis of Financial Condition and Results of Operations” in our Annual Report.</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Global and Macroeconomic Developments</w:t>
      </w:r>
    </w:p>
    <w:p>
      <w:pPr>
        <w:pStyle w:val="TextBody"/>
        <w:bidi w:val="0"/>
        <w:spacing w:before="120" w:after="160"/>
        <w:jc w:val="both"/>
        <w:rPr>
          <w:rFonts w:ascii="Times New Roman" w:hAnsi="Times New Roman"/>
          <w:sz w:val="20"/>
        </w:rPr>
      </w:pPr>
      <w:r>
        <w:rPr>
          <w:rFonts w:ascii="Times New Roman" w:hAnsi="Times New Roman"/>
          <w:color w:val="000000"/>
          <w:sz w:val="20"/>
        </w:rPr>
        <w:t>We are subject to continuing risks and uncertainties in connection with legislative, regulatory, political, geopolitical and macroeconomic developments beyond our control, including inflationary pressures, general economic slowdown or a recession, high interest rates, changes in monetary policy or foreign currency exchange rates, changes in trade policies, including tariffs and other trade restrictions or the threat of such actions, instability in financial institutions, the ongoing conflicts in Ukraine and in the Middle East. Most of these developments and factors are outside of our control and could exist for an extended period of time. We will continue to evaluate the nature and extent of the potential impacts to our business, results of operations, liquidity and capital resources. See the section titled “</w:t>
      </w:r>
      <w:r>
        <w:rPr>
          <w:rFonts w:ascii="Times New Roman" w:hAnsi="Times New Roman"/>
          <w:i/>
          <w:color w:val="000000"/>
          <w:sz w:val="20"/>
        </w:rPr>
        <w:t>Risk Factors</w:t>
      </w:r>
      <w:r>
        <w:rPr>
          <w:rFonts w:ascii="Times New Roman" w:hAnsi="Times New Roman"/>
          <w:color w:val="000000"/>
          <w:sz w:val="20"/>
        </w:rPr>
        <w:t>” found elsewhere in this Quarterly Report on Form 10-Q and in our Annual Report for additional information.</w:t>
      </w:r>
    </w:p>
    <w:p>
      <w:pPr>
        <w:pStyle w:val="TextBody"/>
        <w:bidi w:val="0"/>
        <w:jc w:val="both"/>
        <w:rPr>
          <w:rFonts w:ascii="Times New Roman" w:hAnsi="Times New Roman"/>
          <w:b/>
          <w:color w:val="000000"/>
          <w:sz w:val="20"/>
        </w:rPr>
      </w:pPr>
      <w:r>
        <w:rPr>
          <w:rFonts w:ascii="Times New Roman" w:hAnsi="Times New Roman"/>
          <w:b/>
          <w:color w:val="000000"/>
          <w:sz w:val="20"/>
        </w:rPr>
        <w:t>Smaller Reporting Company Status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“smaller reporting company” as defined in Rule 12b-2 under the Securities Exchange Act of 1934, as amended, or the Exchange Act. We may continue to be a smaller reporting company if either (i) the market value of our shares held by non-affiliates is less than $250.0 million or (ii) our annual revenue was less than $100.0 million during the most recently completed fiscal year and the market value of our shares held by non-affiliates is less than $700.0 million. For so long as we continue to be a smaller reporting company, we may continue to rely on exemptions from certain disclosure requirements that are available to smaller reporting companies.</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We have reviewed all recently issued standards and have determined that, other than as disclosed in Note 2 to our condensed consolidated financial statements to this Quarterly Report on Form 10-Q, such standards will not have a material impact on our condensed consolidated financial statements or do not otherwise apply to our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smaller reporting company, as defined in Rule 12b-2 under the Exchange Act for this reporting period and are not required to provide the information required under this item.</w:t>
      </w:r>
    </w:p>
    <w:p>
      <w:pPr>
        <w:pStyle w:val="TextBody"/>
        <w:bidi w:val="0"/>
        <w:spacing w:before="240" w:after="283"/>
        <w:jc w:val="both"/>
        <w:rPr>
          <w:rFonts w:ascii="Times New Roman" w:hAnsi="Times New Roman"/>
          <w:sz w:val="20"/>
        </w:rPr>
      </w:pPr>
      <w:bookmarkStart w:id="11" w:name="item_4_controls_procedures"/>
      <w:bookmarkEnd w:id="11"/>
      <w:r>
        <w:rPr>
          <w:rFonts w:ascii="Times New Roman" w:hAnsi="Times New Roman"/>
          <w:b/>
          <w:color w:val="000000"/>
          <w:sz w:val="20"/>
        </w:rPr>
        <w:t>Item 4.</w:t>
      </w:r>
      <w:r>
        <w:rPr>
          <w:rFonts w:ascii="Times New Roman" w:hAnsi="Times New Roman"/>
          <w:color w:val="000000"/>
          <w:sz w:val="20"/>
        </w:rPr>
        <w:t xml:space="preserve"> </w:t>
      </w:r>
      <w:r>
        <w:rPr>
          <w:rFonts w:ascii="Times New Roman" w:hAnsi="Times New Roman"/>
          <w:b/>
          <w:color w:val="000000"/>
          <w:sz w:val="20"/>
        </w:rPr>
        <w:t>Controls and Procedures.</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Limitations on Effectiveness of Controls and Procedures</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Our management, with the participation of our Chief Executive Officer and our interim Chief Financial Officer, evaluated, as of the end of the period covered by this Quarterly Report, the effectiveness of our disclosure controls and procedures (as defined in Rules 13a-15(e) and 15d-15(e) under the Exchange Act). Based on that evaluation, our Chief Executive Officer and our interim Chief Financial Officer concluded that our disclosure controls and procedures were not effective at the reasonable assurance level as of June 30, 2026, because of the identified material weaknesses in our internal control over financial reporting described below.</w:t>
      </w:r>
    </w:p>
    <w:p>
      <w:pPr>
        <w:pStyle w:val="TextBody"/>
        <w:bidi w:val="0"/>
        <w:jc w:val="both"/>
        <w:rPr>
          <w:rFonts w:ascii="Times New Roman" w:hAnsi="Times New Roman"/>
          <w:b/>
          <w:color w:val="000000"/>
          <w:sz w:val="20"/>
        </w:rPr>
      </w:pPr>
      <w:r>
        <w:rPr>
          <w:rFonts w:ascii="Times New Roman" w:hAnsi="Times New Roman"/>
          <w:b/>
          <w:color w:val="000000"/>
          <w:sz w:val="20"/>
        </w:rPr>
        <w:t>Material Weaknesses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identified material weaknesses in our internal control over financial reporting. A material weakness is a deficiency, or combination of deficiencies, in internal control over financial reporting such that there is a possibility that a material misstatement of our financial statements will not be prevented or detected on a timely basis. We identified the following material weaknesses in internal control over financial reporting: (i) lack of sufficient accounting and supervisory personnel who have the appropriate level of technical accounting experience and training, and (ii) lack of adequate procedures and controls to ensure that accurate financial statements could have been prepared and reviewed on a timely basis for annual reporting purposes. These material weaknesses continued to exist as of June 30, 2026 and December 31, 2025.</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Management’s Plan to Remediate Material Weaknesses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below are actions that we have taken to date to remediate the above-mentioned material weaknesses: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Enhanced the execution of our risk assessment activities by evaluating whether the design of our internal controls appropriately addresses changes in the business (including changes to people, processes and systems) that could impact our system of internal controls.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Engaged a third-party to assist in assessing the design and implementation of controls and develop remediation plans for identified control gaps related to our timely preparation and review of account reconciliations, financial statements and supporting schedules.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Reported regularly to the audit committee on the progress and results of the remediation plan, including the identification, status and resolution of internal control deficiencies.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Continued to reassess staffing and add additional resources, as required, with the requisite technical accounting experience and training, to further allow for segregation of duties and to support our system of internal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Implemented remediation plans for identified control design and implementation gaps.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implementing and executing the aforementioned activities, the following activities are expected to be completed in fiscal year 2026:</w:t>
      </w:r>
    </w:p>
    <w:p>
      <w:pPr>
        <w:pStyle w:val="TextBody"/>
        <w:bidi w:val="0"/>
        <w:spacing w:before="120" w:after="160"/>
        <w:jc w:val="left"/>
        <w:rPr>
          <w:color w:val="000000"/>
        </w:rPr>
      </w:pPr>
      <w:r>
        <w:rPr>
          <w:color w:val="000000"/>
        </w:rPr>
        <w:t>•</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Continue to act upon the enhancements to our internal controls that we implemented in 2025.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Perform testing of operating effectiveness of identified controls over financial reporting including IT General Controls.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needed, we will also supplement our internal resources with additional third-party resources to enhance our corporate oversight and monitoring over process-level controls and structures to ensure that there is appropriate assignment of authority, responsibility, and accountability.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material weaknesses will not be considered remediated until management completes the design and implementation of the measures described above and the controls operate for a sufficient period of time and management has concluded, through testing, that these controls are effective. Management believes that the remediation measures described above will be implemented in a manner such that the controls can be tested, and the identified material weaknesses can be determined to be remediated, however, no assurance can be made that such remediation will occur or that additional material weaknesses will not be identified.</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Except for the above noted and previously reported material weaknesses and the related ongoing remediation activities described above, no change in our internal control over financial reporting (as defined in Rules 13a-15(f) and 15d-15(f) under the Exchange Act) has occurred during the three months ended June 30, 2026 that has materially affected, or is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2" w:name="part_iior_information"/>
      <w:bookmarkEnd w:id="12"/>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both"/>
        <w:rPr>
          <w:rFonts w:ascii="Times New Roman" w:hAnsi="Times New Roman"/>
          <w:b/>
          <w:color w:val="000000"/>
          <w:sz w:val="20"/>
        </w:rPr>
      </w:pPr>
      <w:bookmarkStart w:id="13" w:name="item_1a_risk_factors"/>
      <w:bookmarkEnd w:id="13"/>
      <w:r>
        <w:rPr>
          <w:rFonts w:ascii="Times New Roman" w:hAnsi="Times New Roman"/>
          <w:b/>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a discussion of our risk factors, see “Part I, Item 1A-Risk Factors” in our Annual Report for the year ended December 31,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You should carefully consider the risks included in our Annual Report, together with all of the other information in this Quarterly Report on Form 10-Q, including our unaudited condensed consolidated financial statements and the related notes included elsewhere in this Quarterly Report on Form 10-Q. The occurrence of any single risk or any combination of risks could materially and adversely affect our business, financial condition, results of operations, cash flows and the trading price of our common stock.</w:t>
      </w:r>
    </w:p>
    <w:p>
      <w:pPr>
        <w:pStyle w:val="TextBody"/>
        <w:bidi w:val="0"/>
        <w:spacing w:before="240" w:after="283"/>
        <w:jc w:val="both"/>
        <w:rPr>
          <w:rFonts w:ascii="Times New Roman" w:hAnsi="Times New Roman"/>
          <w:b/>
          <w:color w:val="000000"/>
          <w:sz w:val="20"/>
        </w:rPr>
      </w:pPr>
      <w:bookmarkStart w:id="14" w:name="item_5_other_information"/>
      <w:bookmarkEnd w:id="14"/>
      <w:r>
        <w:rPr>
          <w:rFonts w:ascii="Times New Roman" w:hAnsi="Times New Roman"/>
          <w:b/>
          <w:color w:val="000000"/>
          <w:sz w:val="20"/>
        </w:rPr>
        <w:t>Item 5. Other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June 30, 2026, no director or officer of the Company adopted or terminated a Rule 10b5-1 trading arrangement or non-Rule 10b5-1 trading arrangement, as each term is defined in Item 408(a) of Regulation S-K.</w:t>
      </w:r>
    </w:p>
    <w:p>
      <w:pPr>
        <w:pStyle w:val="TextBody"/>
        <w:bidi w:val="0"/>
        <w:spacing w:before="240" w:after="283"/>
        <w:jc w:val="both"/>
        <w:rPr>
          <w:rFonts w:ascii="Times New Roman" w:hAnsi="Times New Roman"/>
          <w:b/>
          <w:color w:val="000000"/>
          <w:sz w:val="20"/>
        </w:rPr>
      </w:pPr>
      <w:bookmarkStart w:id="15" w:name="item_6_exhibits"/>
      <w:bookmarkEnd w:id="15"/>
      <w:r>
        <w:rPr>
          <w:rFonts w:ascii="Times New Roman" w:hAnsi="Times New Roman"/>
          <w:b/>
          <w:color w:val="000000"/>
          <w:sz w:val="20"/>
        </w:rPr>
        <w:t>Item 6. Exhibits.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exhibits are filed or furnished as part of this Quarterly Report on Form 10-Q.</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11"/>
        <w:gridCol w:w="146"/>
        <w:gridCol w:w="9148"/>
      </w:tblGrid>
      <w:tr>
        <w:trPr/>
        <w:tc>
          <w:tcPr>
            <w:tcW w:w="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48" w:type="dxa"/>
            <w:tcBorders/>
            <w:vAlign w:val="center"/>
          </w:tcPr>
          <w:p>
            <w:pPr>
              <w:pStyle w:val="TableContents"/>
              <w:bidi w:val="0"/>
              <w:spacing w:before="0" w:after="283"/>
              <w:jc w:val="left"/>
              <w:rPr>
                <w:sz w:val="4"/>
                <w:szCs w:val="4"/>
              </w:rPr>
            </w:pPr>
            <w:r>
              <w:rPr>
                <w:sz w:val="4"/>
                <w:szCs w:val="4"/>
              </w:rPr>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48"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Restated Certificate of Incorporation of the Registrant, as amended (incorporated by reference to Exhibit 3.1 of the Company’s Quarterly Report on Form 10-Q filed with the Securities and Exchange Commission on August 11, 2021).</w:t>
              </w:r>
            </w:hyperlink>
          </w:p>
        </w:tc>
      </w:tr>
      <w:tr>
        <w:trPr/>
        <w:tc>
          <w:tcPr>
            <w:tcW w:w="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48"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of Restated Certificate of Incorporation of the Registrant, dated as of November 10, 2022 (incorporated by reference to Exhibit 3.1 of the Company’s Current Report on Form 8-K filed with the Securities and Exchange Commission on November 10, 2022).</w:t>
              </w:r>
            </w:hyperlink>
          </w:p>
        </w:tc>
      </w:tr>
      <w:tr>
        <w:trPr/>
        <w:tc>
          <w:tcPr>
            <w:tcW w:w="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48"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Amendment of Restated Certificate of Incorporation of the Registrant, dated February 28, 2024 (incorporated by reference to Exhibit 3.3 of the Company’s Annual Report on Form 10-K filed with the Securities and Exchange Commission on April 15, 2024).</w:t>
              </w:r>
            </w:hyperlink>
          </w:p>
        </w:tc>
      </w:tr>
      <w:tr>
        <w:trPr/>
        <w:tc>
          <w:tcPr>
            <w:tcW w:w="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48"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Certificate of Amendment to Restated Certificate of Incorporation (incorporated by reference to Exhibit 3.1 to the Company’s Current Report on Form 8-K filed with the Securities and Exchange Commission on January 10, 2025).</w:t>
              </w:r>
            </w:hyperlink>
          </w:p>
        </w:tc>
      </w:tr>
      <w:tr>
        <w:trPr/>
        <w:tc>
          <w:tcPr>
            <w:tcW w:w="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48" w:type="dxa"/>
            <w:tcBorders/>
            <w:tcMar>
              <w:top w:w="0" w:type="dxa"/>
              <w:left w:w="0" w:type="dxa"/>
              <w:bottom w:w="0" w:type="dxa"/>
              <w:right w:w="0" w:type="dxa"/>
            </w:tcMar>
            <w:vAlign w:val="center"/>
          </w:tcPr>
          <w:p>
            <w:pPr>
              <w:pStyle w:val="TableContents"/>
              <w:bidi w:val="0"/>
              <w:spacing w:before="0" w:after="283"/>
              <w:jc w:val="left"/>
              <w:rPr/>
            </w:pPr>
            <w:hyperlink w:anchor="rntx-ex3_5.htm">
              <w:r>
                <w:rPr>
                  <w:rStyle w:val="InternetLink"/>
                  <w:rFonts w:ascii="Times New Roman" w:hAnsi="Times New Roman"/>
                  <w:color w:val="0000FF"/>
                  <w:sz w:val="20"/>
                  <w:u w:val="single"/>
                </w:rPr>
                <w:t>Certificate of Amendment to Restated Certificate of Incorporation</w:t>
              </w:r>
            </w:hyperlink>
          </w:p>
        </w:tc>
      </w:tr>
      <w:tr>
        <w:trPr/>
        <w:tc>
          <w:tcPr>
            <w:tcW w:w="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48"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Bylaws (incorporated by reference to Exhibit 3.2 to the Company’s Current Report on Form 8-K filed with the Securities and Exchange Commission on January 10, 2025).</w:t>
              </w:r>
            </w:hyperlink>
          </w:p>
        </w:tc>
      </w:tr>
      <w:tr>
        <w:trPr/>
        <w:tc>
          <w:tcPr>
            <w:tcW w:w="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48" w:type="dxa"/>
            <w:tcBorders/>
            <w:tcMar>
              <w:top w:w="0" w:type="dxa"/>
              <w:left w:w="0" w:type="dxa"/>
              <w:bottom w:w="0" w:type="dxa"/>
              <w:right w:w="0" w:type="dxa"/>
            </w:tcMar>
            <w:vAlign w:val="center"/>
          </w:tcPr>
          <w:p>
            <w:pPr>
              <w:pStyle w:val="TableContents"/>
              <w:bidi w:val="0"/>
              <w:spacing w:before="0" w:after="283"/>
              <w:jc w:val="left"/>
              <w:rPr/>
            </w:pPr>
            <w:hyperlink w:anchor="rntx-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911" w:type="dxa"/>
            <w:tcBorders/>
            <w:tcMar>
              <w:top w:w="0" w:type="dxa"/>
              <w:left w:w="0" w:type="dxa"/>
              <w:bottom w:w="0" w:type="dxa"/>
              <w:right w:w="0" w:type="dxa"/>
            </w:tcMar>
            <w:vAlign w:val="center"/>
          </w:tcPr>
          <w:p>
            <w:pPr>
              <w:pStyle w:val="TableContents"/>
              <w:bidi w:val="0"/>
              <w:spacing w:before="0" w:after="283"/>
              <w:jc w:val="left"/>
              <w:rPr/>
            </w:pPr>
            <w:r>
              <w:rPr/>
              <w:t> </w:t>
            </w:r>
          </w:p>
        </w:tc>
        <w:tc>
          <w:tcPr>
            <w:tcW w:w="929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48" w:type="dxa"/>
            <w:tcBorders/>
            <w:tcMar>
              <w:top w:w="0" w:type="dxa"/>
              <w:left w:w="0" w:type="dxa"/>
              <w:bottom w:w="0" w:type="dxa"/>
              <w:right w:w="0" w:type="dxa"/>
            </w:tcMar>
            <w:vAlign w:val="center"/>
          </w:tcPr>
          <w:p>
            <w:pPr>
              <w:pStyle w:val="TableContents"/>
              <w:bidi w:val="0"/>
              <w:spacing w:before="0" w:after="283"/>
              <w:jc w:val="left"/>
              <w:rPr/>
            </w:pPr>
            <w:hyperlink w:anchor="rntx-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911" w:type="dxa"/>
            <w:tcBorders/>
            <w:tcMar>
              <w:top w:w="0" w:type="dxa"/>
              <w:left w:w="0" w:type="dxa"/>
              <w:bottom w:w="0" w:type="dxa"/>
              <w:right w:w="0" w:type="dxa"/>
            </w:tcMar>
            <w:vAlign w:val="center"/>
          </w:tcPr>
          <w:p>
            <w:pPr>
              <w:pStyle w:val="TableContents"/>
              <w:bidi w:val="0"/>
              <w:spacing w:before="0" w:after="283"/>
              <w:jc w:val="left"/>
              <w:rPr/>
            </w:pPr>
            <w:r>
              <w:rPr/>
              <w:t> </w:t>
            </w:r>
          </w:p>
        </w:tc>
        <w:tc>
          <w:tcPr>
            <w:tcW w:w="929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48" w:type="dxa"/>
            <w:tcBorders/>
            <w:tcMar>
              <w:top w:w="0" w:type="dxa"/>
              <w:left w:w="0" w:type="dxa"/>
              <w:bottom w:w="0" w:type="dxa"/>
              <w:right w:w="0" w:type="dxa"/>
            </w:tcMar>
            <w:vAlign w:val="center"/>
          </w:tcPr>
          <w:p>
            <w:pPr>
              <w:pStyle w:val="TableContents"/>
              <w:bidi w:val="0"/>
              <w:spacing w:before="0" w:after="283"/>
              <w:jc w:val="left"/>
              <w:rPr/>
            </w:pPr>
            <w:hyperlink w:anchor="rntx-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911" w:type="dxa"/>
            <w:tcBorders/>
            <w:tcMar>
              <w:top w:w="0" w:type="dxa"/>
              <w:left w:w="0" w:type="dxa"/>
              <w:bottom w:w="0" w:type="dxa"/>
              <w:right w:w="0" w:type="dxa"/>
            </w:tcMar>
            <w:vAlign w:val="center"/>
          </w:tcPr>
          <w:p>
            <w:pPr>
              <w:pStyle w:val="TableContents"/>
              <w:bidi w:val="0"/>
              <w:spacing w:before="0" w:after="283"/>
              <w:jc w:val="left"/>
              <w:rPr/>
            </w:pPr>
            <w:r>
              <w:rPr/>
              <w:t> </w:t>
            </w:r>
          </w:p>
        </w:tc>
        <w:tc>
          <w:tcPr>
            <w:tcW w:w="929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48" w:type="dxa"/>
            <w:tcBorders/>
            <w:tcMar>
              <w:top w:w="0" w:type="dxa"/>
              <w:left w:w="0" w:type="dxa"/>
              <w:bottom w:w="0" w:type="dxa"/>
              <w:right w:w="0" w:type="dxa"/>
            </w:tcMar>
            <w:vAlign w:val="center"/>
          </w:tcPr>
          <w:p>
            <w:pPr>
              <w:pStyle w:val="TableContents"/>
              <w:bidi w:val="0"/>
              <w:spacing w:before="0" w:after="283"/>
              <w:jc w:val="left"/>
              <w:rPr/>
            </w:pPr>
            <w:hyperlink w:anchor="rntx-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911" w:type="dxa"/>
            <w:tcBorders/>
            <w:tcMar>
              <w:top w:w="0" w:type="dxa"/>
              <w:left w:w="0" w:type="dxa"/>
              <w:bottom w:w="0" w:type="dxa"/>
              <w:right w:w="0" w:type="dxa"/>
            </w:tcMar>
            <w:vAlign w:val="center"/>
          </w:tcPr>
          <w:p>
            <w:pPr>
              <w:pStyle w:val="TableContents"/>
              <w:bidi w:val="0"/>
              <w:spacing w:before="0" w:after="283"/>
              <w:jc w:val="left"/>
              <w:rPr/>
            </w:pPr>
            <w:r>
              <w:rPr/>
              <w:t> </w:t>
            </w:r>
          </w:p>
        </w:tc>
        <w:tc>
          <w:tcPr>
            <w:tcW w:w="929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911" w:type="dxa"/>
            <w:tcBorders/>
            <w:tcMar>
              <w:top w:w="0" w:type="dxa"/>
              <w:left w:w="0" w:type="dxa"/>
              <w:bottom w:w="0" w:type="dxa"/>
              <w:right w:w="0" w:type="dxa"/>
            </w:tcMar>
            <w:vAlign w:val="center"/>
          </w:tcPr>
          <w:p>
            <w:pPr>
              <w:pStyle w:val="TableContents"/>
              <w:bidi w:val="0"/>
              <w:spacing w:before="0" w:after="283"/>
              <w:jc w:val="left"/>
              <w:rPr/>
            </w:pPr>
            <w:r>
              <w:rPr/>
              <w:t> </w:t>
            </w:r>
          </w:p>
        </w:tc>
        <w:tc>
          <w:tcPr>
            <w:tcW w:w="929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911" w:type="dxa"/>
            <w:tcBorders/>
            <w:tcMar>
              <w:top w:w="0" w:type="dxa"/>
              <w:left w:w="0" w:type="dxa"/>
              <w:bottom w:w="0" w:type="dxa"/>
              <w:right w:w="0" w:type="dxa"/>
            </w:tcMar>
            <w:vAlign w:val="center"/>
          </w:tcPr>
          <w:p>
            <w:pPr>
              <w:pStyle w:val="TableContents"/>
              <w:bidi w:val="0"/>
              <w:spacing w:before="0" w:after="283"/>
              <w:jc w:val="left"/>
              <w:rPr/>
            </w:pPr>
            <w:r>
              <w:rPr/>
              <w:t> </w:t>
            </w:r>
          </w:p>
        </w:tc>
        <w:tc>
          <w:tcPr>
            <w:tcW w:w="929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48"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Cover Page Interactive Data File (embedded within the Inline XBRL document)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6"/>
        <w:gridCol w:w="9979"/>
      </w:tblGrid>
      <w:tr>
        <w:trPr/>
        <w:tc>
          <w:tcPr>
            <w:tcW w:w="226" w:type="dxa"/>
            <w:tcBorders/>
            <w:vAlign w:val="center"/>
          </w:tcPr>
          <w:p>
            <w:pPr>
              <w:pStyle w:val="TableContents"/>
              <w:bidi w:val="0"/>
              <w:spacing w:before="0" w:after="283"/>
              <w:jc w:val="left"/>
              <w:rPr>
                <w:sz w:val="4"/>
                <w:szCs w:val="4"/>
              </w:rPr>
            </w:pPr>
            <w:r>
              <w:rPr>
                <w:sz w:val="4"/>
                <w:szCs w:val="4"/>
              </w:rPr>
            </w:r>
          </w:p>
        </w:tc>
        <w:tc>
          <w:tcPr>
            <w:tcW w:w="9979" w:type="dxa"/>
            <w:tcBorders/>
            <w:vAlign w:val="center"/>
          </w:tcPr>
          <w:p>
            <w:pPr>
              <w:pStyle w:val="TableContents"/>
              <w:bidi w:val="0"/>
              <w:spacing w:before="0" w:after="283"/>
              <w:jc w:val="left"/>
              <w:rPr>
                <w:sz w:val="4"/>
                <w:szCs w:val="4"/>
              </w:rPr>
            </w:pPr>
            <w:r>
              <w:rPr>
                <w:sz w:val="4"/>
                <w:szCs w:val="4"/>
              </w:rPr>
            </w:r>
          </w:p>
        </w:tc>
      </w:tr>
      <w:tr>
        <w:trPr/>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Indicates management contract or compensatory plan.</w:t>
            </w:r>
          </w:p>
        </w:tc>
      </w:tr>
      <w:tr>
        <w:trPr/>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accordance with Item 601(b)(10)(iv) of Regulation S-K, certain information (indicated by “[**]”) has been excluded from this exhibit because it is both not material and private or confidential. A copy of the omitted portion will be furnished to the SEC upon request.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6"/>
        <w:gridCol w:w="9979"/>
      </w:tblGrid>
      <w:tr>
        <w:trPr/>
        <w:tc>
          <w:tcPr>
            <w:tcW w:w="226" w:type="dxa"/>
            <w:tcBorders/>
            <w:vAlign w:val="center"/>
          </w:tcPr>
          <w:p>
            <w:pPr>
              <w:pStyle w:val="TableContents"/>
              <w:bidi w:val="0"/>
              <w:spacing w:before="0" w:after="283"/>
              <w:jc w:val="left"/>
              <w:rPr>
                <w:sz w:val="4"/>
                <w:szCs w:val="4"/>
              </w:rPr>
            </w:pPr>
            <w:r>
              <w:rPr>
                <w:sz w:val="4"/>
                <w:szCs w:val="4"/>
              </w:rPr>
            </w:r>
          </w:p>
        </w:tc>
        <w:tc>
          <w:tcPr>
            <w:tcW w:w="9979" w:type="dxa"/>
            <w:tcBorders/>
            <w:vAlign w:val="center"/>
          </w:tcPr>
          <w:p>
            <w:pPr>
              <w:pStyle w:val="TableContents"/>
              <w:bidi w:val="0"/>
              <w:spacing w:before="0" w:after="283"/>
              <w:jc w:val="left"/>
              <w:rPr>
                <w:sz w:val="4"/>
                <w:szCs w:val="4"/>
              </w:rPr>
            </w:pPr>
            <w:r>
              <w:rPr>
                <w:sz w:val="4"/>
                <w:szCs w:val="4"/>
              </w:rPr>
            </w:r>
          </w:p>
        </w:tc>
      </w:tr>
      <w:tr>
        <w:trPr/>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Certain schedules and similar attachments have been omitted pursuant to Item 601(a)(5) of Regulation S-K. The registrant undertakes to furnish supplemental copies of any of the omitted schedules upon request by the SEC.</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6" w:name="signatures"/>
      <w:bookmarkEnd w:id="16"/>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6161" w:type="dxa"/>
        <w:jc w:val="left"/>
        <w:tblInd w:w="0" w:type="dxa"/>
        <w:tblLayout w:type="fixed"/>
        <w:tblCellMar>
          <w:top w:w="28" w:type="dxa"/>
          <w:left w:w="28" w:type="dxa"/>
          <w:bottom w:w="28" w:type="dxa"/>
          <w:right w:w="28" w:type="dxa"/>
        </w:tblCellMar>
      </w:tblPr>
      <w:tblGrid>
        <w:gridCol w:w="1951"/>
        <w:gridCol w:w="109"/>
        <w:gridCol w:w="146"/>
        <w:gridCol w:w="109"/>
        <w:gridCol w:w="406"/>
        <w:gridCol w:w="109"/>
        <w:gridCol w:w="333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Rein Therapeutics,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44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Brian Windsor, Ph.D.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Brian Windsor, Ph.D.</w:t>
            </w:r>
            <w:r>
              <w:rPr>
                <w:rFonts w:ascii="Times New Roman" w:hAnsi="Times New Roman"/>
                <w:color w:val="000000"/>
                <w:sz w:val="20"/>
              </w:rPr>
              <w:t xml:space="preserve">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President and 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44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Timothy M. Cunningham</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Timothy M. Cunningham</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Interim 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17" w:name="rntx-ex3_5.htm"/>
      <w:bookmarkStart w:id="18" w:name="ksrntxex3_5"/>
      <w:bookmarkEnd w:id="17"/>
      <w:bookmarkEnd w:id="18"/>
      <w:r>
        <w:rPr>
          <w:rFonts w:ascii="Times New Roman" w:hAnsi="Times New Roman"/>
          <w:color w:val="000000"/>
          <w:sz w:val="20"/>
        </w:rPr>
        <w:t>Exhibit 3.5</w:t>
      </w:r>
      <w:r>
        <w:br w:type="page"/>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STATE OF DELAWARE</w:t>
      </w:r>
    </w:p>
    <w:p>
      <w:pPr>
        <w:pStyle w:val="TextBody"/>
        <w:bidi w:val="0"/>
        <w:spacing w:before="240" w:after="283"/>
        <w:jc w:val="center"/>
        <w:rPr>
          <w:rFonts w:ascii="Times New Roman" w:hAnsi="Times New Roman"/>
          <w:sz w:val="20"/>
        </w:rPr>
      </w:pPr>
      <w:r>
        <w:rPr>
          <w:rFonts w:ascii="Times New Roman" w:hAnsi="Times New Roman"/>
          <w:b/>
          <w:color w:val="000000"/>
          <w:sz w:val="22"/>
        </w:rPr>
        <w:t>CERTIFICATE OF AMENDMENT TO THE</w:t>
        <w:br/>
        <w:t>RESTATED CERTIFICATE OF INCORPORATION</w:t>
        <w:br/>
        <w:t>OF</w:t>
        <w:br/>
        <w:t xml:space="preserve">REIN THERAPEUTICS, INC. </w:t>
      </w:r>
      <w:r>
        <w:rPr>
          <w:rFonts w:ascii="Times New Roman" w:hAnsi="Times New Roman"/>
          <w:color w:val="000000"/>
          <w:sz w:val="22"/>
        </w:rPr>
        <w:t>a Delaware corporation</w:t>
      </w:r>
    </w:p>
    <w:p>
      <w:pPr>
        <w:pStyle w:val="TextBody"/>
        <w:bidi w:val="0"/>
        <w:spacing w:before="240" w:after="283"/>
        <w:jc w:val="center"/>
        <w:rPr/>
      </w:pPr>
      <w:r>
        <w:rPr/>
        <w:t> </w:t>
      </w:r>
    </w:p>
    <w:p>
      <w:pPr>
        <w:pStyle w:val="TextBody"/>
        <w:bidi w:val="0"/>
        <w:spacing w:before="0" w:after="120"/>
        <w:jc w:val="both"/>
        <w:rPr>
          <w:rFonts w:ascii="Times New Roman" w:hAnsi="Times New Roman"/>
          <w:sz w:val="20"/>
        </w:rPr>
      </w:pPr>
      <w:r>
        <w:rPr>
          <w:rFonts w:ascii="Times New Roman" w:hAnsi="Times New Roman"/>
          <w:color w:val="000000"/>
          <w:sz w:val="22"/>
        </w:rPr>
        <w:t>REIN THERAPEUTICS, INC., a Delaware corporation (the "</w:t>
      </w:r>
      <w:r>
        <w:rPr>
          <w:rFonts w:ascii="Times New Roman" w:hAnsi="Times New Roman"/>
          <w:b/>
          <w:color w:val="000000"/>
          <w:sz w:val="22"/>
        </w:rPr>
        <w:t>Corporation</w:t>
      </w:r>
      <w:r>
        <w:rPr>
          <w:rFonts w:ascii="Times New Roman" w:hAnsi="Times New Roman"/>
          <w:color w:val="000000"/>
          <w:sz w:val="22"/>
        </w:rPr>
        <w:t>"), does hereby certify that the following amendment to the Corporation's Restated Certificate of Incorporation has been duly adopted in accordance with the provision of Section 242 of the Delaware General Corporation Law:</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Restated Certificate of Incorporation is hereby amended by deleting the third paragraph of Article FOURTH thereof in its entirety and by inserting the following in lieu thereof:</w:t>
      </w:r>
    </w:p>
    <w:p>
      <w:pPr>
        <w:pStyle w:val="TextBody"/>
        <w:bidi w:val="0"/>
        <w:spacing w:before="0" w:after="120"/>
        <w:jc w:val="both"/>
        <w:rPr>
          <w:color w:val="000000"/>
        </w:rPr>
      </w:pPr>
      <w:r>
        <w:rPr>
          <w:color w:val="000000"/>
        </w:rPr>
        <w:t>“</w:t>
      </w:r>
      <w:r>
        <w:rPr>
          <w:rFonts w:ascii="Times New Roman" w:hAnsi="Times New Roman"/>
          <w:color w:val="000000"/>
          <w:sz w:val="22"/>
        </w:rPr>
        <w:t>The total number of shares of all classes of stock which the Corporation shall have authority to issue is 205,000,000 shares, consisting of (i) 200,000,000 shares of Common Stock, $0.001 par value per share (“Common Stock”), and (ii) 5,000,000 shares of Preferred Stock, $0.001 par value per share (“Preferred Stock”).”</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IN WITNESS WHEREOF, the Corporation has caused this Certificate of Amendment to the Restated Certificate of Incorporation to be signed by its duly authorized officer, this 29th day of July 2026, and the foregoing facts stated herein are true and correct.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i/>
          <w:color w:val="000000"/>
          <w:sz w:val="22"/>
          <w:u w:val="single"/>
        </w:rPr>
        <w:t>/s/ Brian Windsor</w:t>
      </w:r>
      <w:r>
        <w:rPr>
          <w:rFonts w:ascii="Times New Roman" w:hAnsi="Times New Roman"/>
          <w:color w:val="000000"/>
          <w:sz w:val="22"/>
        </w:rPr>
        <w:t>__________________</w:t>
      </w:r>
    </w:p>
    <w:p>
      <w:pPr>
        <w:pStyle w:val="TextBody"/>
        <w:bidi w:val="0"/>
        <w:jc w:val="left"/>
        <w:rPr>
          <w:rFonts w:ascii="Times New Roman" w:hAnsi="Times New Roman"/>
          <w:color w:val="000000"/>
          <w:sz w:val="22"/>
        </w:rPr>
      </w:pPr>
      <w:r>
        <w:rPr>
          <w:rFonts w:ascii="Times New Roman" w:hAnsi="Times New Roman"/>
          <w:color w:val="000000"/>
          <w:sz w:val="22"/>
        </w:rPr>
        <w:t>Name: Brian Windsor, Ph.D.</w:t>
      </w:r>
    </w:p>
    <w:p>
      <w:pPr>
        <w:pStyle w:val="TextBody"/>
        <w:bidi w:val="0"/>
        <w:jc w:val="left"/>
        <w:rPr>
          <w:rFonts w:ascii="Times New Roman" w:hAnsi="Times New Roman"/>
          <w:color w:val="000000"/>
          <w:sz w:val="22"/>
        </w:rPr>
      </w:pPr>
      <w:r>
        <w:rPr>
          <w:rFonts w:ascii="Times New Roman" w:hAnsi="Times New Roman"/>
          <w:color w:val="000000"/>
          <w:sz w:val="22"/>
        </w:rPr>
        <w:t>Title: President and Chief Executive Officer</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9" w:name="rntx-ex31_1.htm"/>
      <w:bookmarkStart w:id="20" w:name="ksrntxex31_1"/>
      <w:bookmarkEnd w:id="19"/>
      <w:bookmarkEnd w:id="20"/>
      <w:r>
        <w:rPr>
          <w:rFonts w:ascii="Times New Roman" w:hAnsi="Times New Roman"/>
          <w:b/>
          <w:color w:val="000000"/>
          <w:sz w:val="20"/>
        </w:rPr>
        <w:t>Exhibit 31.1</w:t>
      </w:r>
      <w:r>
        <w:br w:type="page"/>
      </w:r>
    </w:p>
    <w:p>
      <w:pPr>
        <w:pStyle w:val="TextBody"/>
        <w:bidi w:val="0"/>
        <w:jc w:val="center"/>
        <w:rPr>
          <w:rFonts w:ascii="Times New Roman" w:hAnsi="Times New Roman"/>
          <w:b/>
          <w:caps/>
          <w:color w:val="000000"/>
          <w:sz w:val="20"/>
        </w:rPr>
      </w:pPr>
      <w:r>
        <w:rPr>
          <w:rFonts w:ascii="Times New Roman" w:hAnsi="Times New Roman"/>
          <w:b/>
          <w:caps/>
          <w:color w:val="000000"/>
          <w:sz w:val="20"/>
        </w:rPr>
        <w:t>Certification of Principal Executive Officer pursuant to Exchange Act Rules 13a-14(a) and 15d-14(a), as adopted pursuant to Section 302 of Sarbanes-Oxley Act of 2002</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 Brian Windsor, Ph.D., certify that: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 have reviewed this Quarterly Report on Form 10-Q of Rein Therapeutics, Inc.;</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5267" w:type="dxa"/>
        <w:jc w:val="left"/>
        <w:tblInd w:w="0" w:type="dxa"/>
        <w:tblLayout w:type="fixed"/>
        <w:tblCellMar>
          <w:top w:w="28" w:type="dxa"/>
          <w:left w:w="28" w:type="dxa"/>
          <w:bottom w:w="28" w:type="dxa"/>
          <w:right w:w="28" w:type="dxa"/>
        </w:tblCellMar>
      </w:tblPr>
      <w:tblGrid>
        <w:gridCol w:w="2056"/>
        <w:gridCol w:w="3211"/>
      </w:tblGrid>
      <w:tr>
        <w:trPr/>
        <w:tc>
          <w:tcPr>
            <w:tcW w:w="205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both"/>
              <w:rPr/>
            </w:pPr>
            <w:r>
              <w:rPr/>
              <w:t> </w:t>
            </w:r>
          </w:p>
        </w:tc>
        <w:tc>
          <w:tcPr>
            <w:tcW w:w="32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aps/>
                <w:color w:val="000000"/>
                <w:sz w:val="20"/>
              </w:rPr>
            </w:pPr>
            <w:r>
              <w:rPr>
                <w:rFonts w:ascii="Times New Roman" w:hAnsi="Times New Roman"/>
                <w:b/>
                <w:caps/>
                <w:color w:val="000000"/>
                <w:sz w:val="20"/>
              </w:rPr>
              <w:t>REIN Therapeutics, Inc.</w:t>
            </w:r>
          </w:p>
        </w:tc>
      </w:tr>
      <w:tr>
        <w:trPr/>
        <w:tc>
          <w:tcPr>
            <w:tcW w:w="20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aps/>
                <w:color w:val="000000"/>
                <w:sz w:val="20"/>
              </w:rPr>
              <w:t>d</w:t>
            </w:r>
            <w:r>
              <w:rPr>
                <w:rFonts w:ascii="Times New Roman" w:hAnsi="Times New Roman"/>
                <w:color w:val="000000"/>
                <w:sz w:val="20"/>
              </w:rPr>
              <w:t>ated: August 14, 2026</w:t>
            </w:r>
          </w:p>
        </w:tc>
        <w:tc>
          <w:tcPr>
            <w:tcW w:w="3211"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Brian Windsor, Ph.D.</w:t>
            </w:r>
          </w:p>
        </w:tc>
      </w:tr>
      <w:tr>
        <w:trPr/>
        <w:tc>
          <w:tcPr>
            <w:tcW w:w="2056" w:type="dxa"/>
            <w:tcBorders/>
            <w:tcMar>
              <w:top w:w="0" w:type="dxa"/>
              <w:left w:w="0" w:type="dxa"/>
              <w:bottom w:w="0" w:type="dxa"/>
              <w:right w:w="0" w:type="dxa"/>
            </w:tcMar>
            <w:vAlign w:val="center"/>
          </w:tcPr>
          <w:p>
            <w:pPr>
              <w:pStyle w:val="TableContents"/>
              <w:bidi w:val="0"/>
              <w:spacing w:before="0" w:after="283"/>
              <w:jc w:val="both"/>
              <w:rPr/>
            </w:pPr>
            <w:r>
              <w:rPr/>
              <w:t> </w:t>
            </w:r>
          </w:p>
        </w:tc>
        <w:tc>
          <w:tcPr>
            <w:tcW w:w="32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Brian Windsor, Ph.D.</w:t>
            </w:r>
          </w:p>
        </w:tc>
      </w:tr>
      <w:tr>
        <w:trPr/>
        <w:tc>
          <w:tcPr>
            <w:tcW w:w="2056" w:type="dxa"/>
            <w:tcBorders/>
            <w:tcMar>
              <w:top w:w="0" w:type="dxa"/>
              <w:left w:w="0" w:type="dxa"/>
              <w:bottom w:w="0" w:type="dxa"/>
              <w:right w:w="0" w:type="dxa"/>
            </w:tcMar>
            <w:vAlign w:val="center"/>
          </w:tcPr>
          <w:p>
            <w:pPr>
              <w:pStyle w:val="TableContents"/>
              <w:bidi w:val="0"/>
              <w:spacing w:before="0" w:after="283"/>
              <w:jc w:val="both"/>
              <w:rPr/>
            </w:pPr>
            <w:r>
              <w:rPr/>
              <w:t> </w:t>
            </w:r>
          </w:p>
        </w:tc>
        <w:tc>
          <w:tcPr>
            <w:tcW w:w="321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LEGAL\70459148\1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rntx-ex31_2.htm"/>
      <w:bookmarkStart w:id="22" w:name="ksrntxex31_2"/>
      <w:bookmarkEnd w:id="21"/>
      <w:bookmarkEnd w:id="22"/>
      <w:r>
        <w:rPr>
          <w:rFonts w:ascii="Times New Roman" w:hAnsi="Times New Roman"/>
          <w:b/>
          <w:color w:val="000000"/>
          <w:sz w:val="20"/>
        </w:rPr>
        <w:t>Exhibit 31.2</w:t>
      </w:r>
      <w:r>
        <w:br w:type="page"/>
      </w:r>
    </w:p>
    <w:p>
      <w:pPr>
        <w:pStyle w:val="TextBody"/>
        <w:bidi w:val="0"/>
        <w:jc w:val="center"/>
        <w:rPr>
          <w:rFonts w:ascii="Times New Roman" w:hAnsi="Times New Roman"/>
          <w:b/>
          <w:caps/>
          <w:color w:val="000000"/>
          <w:sz w:val="20"/>
        </w:rPr>
      </w:pPr>
      <w:r>
        <w:rPr>
          <w:rFonts w:ascii="Times New Roman" w:hAnsi="Times New Roman"/>
          <w:b/>
          <w:caps/>
          <w:color w:val="000000"/>
          <w:sz w:val="20"/>
        </w:rPr>
        <w:t>Certification of Principal Financial Officer pursuant to Exchange Act Rules 13a-14(a) and 15d-14(a), as adopted pursuant to Section 302 of Sarbanes-Oxley Act of 2002</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 Timothy M. Cunningham, certify that: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 have reviewed this Quarterly Report on Form 10-Q of Rein Therapeutics, Inc.;</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tbl>
      <w:tblPr>
        <w:tblW w:w="4742" w:type="dxa"/>
        <w:jc w:val="left"/>
        <w:tblInd w:w="0" w:type="dxa"/>
        <w:tblLayout w:type="fixed"/>
        <w:tblCellMar>
          <w:top w:w="28" w:type="dxa"/>
          <w:left w:w="28" w:type="dxa"/>
          <w:bottom w:w="28" w:type="dxa"/>
          <w:right w:w="28" w:type="dxa"/>
        </w:tblCellMar>
      </w:tblPr>
      <w:tblGrid>
        <w:gridCol w:w="2056"/>
        <w:gridCol w:w="2686"/>
      </w:tblGrid>
      <w:tr>
        <w:trPr/>
        <w:tc>
          <w:tcPr>
            <w:tcW w:w="2056"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both"/>
              <w:rPr/>
            </w:pPr>
            <w:r>
              <w:rPr/>
              <w:t> </w:t>
            </w:r>
          </w:p>
        </w:tc>
        <w:tc>
          <w:tcPr>
            <w:tcW w:w="26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aps/>
                <w:color w:val="000000"/>
                <w:sz w:val="20"/>
              </w:rPr>
            </w:pPr>
            <w:r>
              <w:rPr>
                <w:rFonts w:ascii="Times New Roman" w:hAnsi="Times New Roman"/>
                <w:b/>
                <w:caps/>
                <w:color w:val="000000"/>
                <w:sz w:val="20"/>
              </w:rPr>
              <w:t>rEIN Therapeutics, Inc.</w:t>
            </w:r>
          </w:p>
        </w:tc>
      </w:tr>
      <w:tr>
        <w:trPr/>
        <w:tc>
          <w:tcPr>
            <w:tcW w:w="20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aps/>
                <w:color w:val="000000"/>
                <w:sz w:val="20"/>
              </w:rPr>
              <w:t>d</w:t>
            </w:r>
            <w:r>
              <w:rPr>
                <w:rFonts w:ascii="Times New Roman" w:hAnsi="Times New Roman"/>
                <w:color w:val="000000"/>
                <w:sz w:val="20"/>
              </w:rPr>
              <w:t>ated: August 14, 2026</w:t>
            </w:r>
          </w:p>
        </w:tc>
        <w:tc>
          <w:tcPr>
            <w:tcW w:w="2686"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Timothy M. Cunningham</w:t>
            </w:r>
          </w:p>
        </w:tc>
      </w:tr>
      <w:tr>
        <w:trPr/>
        <w:tc>
          <w:tcPr>
            <w:tcW w:w="2056" w:type="dxa"/>
            <w:tcBorders/>
            <w:tcMar>
              <w:top w:w="0" w:type="dxa"/>
              <w:left w:w="0" w:type="dxa"/>
              <w:bottom w:w="0" w:type="dxa"/>
              <w:right w:w="0" w:type="dxa"/>
            </w:tcMar>
            <w:vAlign w:val="center"/>
          </w:tcPr>
          <w:p>
            <w:pPr>
              <w:pStyle w:val="TableContents"/>
              <w:bidi w:val="0"/>
              <w:spacing w:before="0" w:after="283"/>
              <w:jc w:val="both"/>
              <w:rPr/>
            </w:pPr>
            <w:r>
              <w:rPr/>
              <w:t> </w:t>
            </w:r>
          </w:p>
        </w:tc>
        <w:tc>
          <w:tcPr>
            <w:tcW w:w="26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Timothy M. Cunningham</w:t>
            </w:r>
          </w:p>
        </w:tc>
      </w:tr>
      <w:tr>
        <w:trPr/>
        <w:tc>
          <w:tcPr>
            <w:tcW w:w="2056" w:type="dxa"/>
            <w:tcBorders/>
            <w:tcMar>
              <w:top w:w="0" w:type="dxa"/>
              <w:left w:w="0" w:type="dxa"/>
              <w:bottom w:w="0" w:type="dxa"/>
              <w:right w:w="0" w:type="dxa"/>
            </w:tcMar>
            <w:vAlign w:val="center"/>
          </w:tcPr>
          <w:p>
            <w:pPr>
              <w:pStyle w:val="TableContents"/>
              <w:bidi w:val="0"/>
              <w:spacing w:before="0" w:after="283"/>
              <w:jc w:val="both"/>
              <w:rPr/>
            </w:pPr>
            <w:r>
              <w:rPr/>
              <w:t> </w:t>
            </w:r>
          </w:p>
        </w:tc>
        <w:tc>
          <w:tcPr>
            <w:tcW w:w="2686"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Interim Chief Financial Officer</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LEGAL\70459526\1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rntx-ex32_1.htm"/>
      <w:bookmarkStart w:id="24" w:name="ksrntxex32_1"/>
      <w:bookmarkEnd w:id="23"/>
      <w:bookmarkEnd w:id="24"/>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18 U.S.C. SECTION 1350, AS ADOPTED PURSUANT</w:t>
      </w:r>
    </w:p>
    <w:p>
      <w:pPr>
        <w:pStyle w:val="TextBody"/>
        <w:bidi w:val="0"/>
        <w:jc w:val="center"/>
        <w:rPr>
          <w:rFonts w:ascii="Times New Roman" w:hAnsi="Times New Roman"/>
          <w:b/>
          <w:color w:val="000000"/>
          <w:sz w:val="20"/>
        </w:rPr>
      </w:pPr>
      <w:r>
        <w:rPr>
          <w:rFonts w:ascii="Times New Roman" w:hAnsi="Times New Roman"/>
          <w:b/>
          <w:color w:val="000000"/>
          <w:sz w:val="20"/>
        </w:rPr>
        <w:t>TO 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on Form 10-Q of Rein Therapeutics, Inc. (the “Company”) for the quarter ended June 30, 2026 as filed with the Securities and Exchange Commission on the date hereof (the “Report”), I, Brian Windsor, Ph.D., President and Chief Executive Officer of the Company, certify, pursuant to 18 U.S.C. § 1350, as adopted pursuant to § 906 of the Sarbanes-Oxley Act of 2002, that to my knowledge: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5267" w:type="dxa"/>
        <w:jc w:val="left"/>
        <w:tblInd w:w="0" w:type="dxa"/>
        <w:tblLayout w:type="fixed"/>
        <w:tblCellMar>
          <w:top w:w="28" w:type="dxa"/>
          <w:left w:w="28" w:type="dxa"/>
          <w:bottom w:w="28" w:type="dxa"/>
          <w:right w:w="28" w:type="dxa"/>
        </w:tblCellMar>
      </w:tblPr>
      <w:tblGrid>
        <w:gridCol w:w="2056"/>
        <w:gridCol w:w="3211"/>
      </w:tblGrid>
      <w:tr>
        <w:trPr/>
        <w:tc>
          <w:tcPr>
            <w:tcW w:w="205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both"/>
              <w:rPr/>
            </w:pPr>
            <w:r>
              <w:rPr/>
              <w:t> </w:t>
            </w:r>
          </w:p>
        </w:tc>
        <w:tc>
          <w:tcPr>
            <w:tcW w:w="32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aps/>
                <w:color w:val="000000"/>
                <w:sz w:val="20"/>
              </w:rPr>
            </w:pPr>
            <w:r>
              <w:rPr>
                <w:rFonts w:ascii="Times New Roman" w:hAnsi="Times New Roman"/>
                <w:b/>
                <w:caps/>
                <w:color w:val="000000"/>
                <w:sz w:val="20"/>
              </w:rPr>
              <w:t>REIN Therapeutics, Inc.</w:t>
            </w:r>
          </w:p>
        </w:tc>
      </w:tr>
      <w:tr>
        <w:trPr/>
        <w:tc>
          <w:tcPr>
            <w:tcW w:w="20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aps/>
                <w:color w:val="000000"/>
                <w:sz w:val="20"/>
              </w:rPr>
              <w:t>d</w:t>
            </w:r>
            <w:r>
              <w:rPr>
                <w:rFonts w:ascii="Times New Roman" w:hAnsi="Times New Roman"/>
                <w:color w:val="000000"/>
                <w:sz w:val="20"/>
              </w:rPr>
              <w:t>ated: August 14, 2026</w:t>
            </w:r>
          </w:p>
        </w:tc>
        <w:tc>
          <w:tcPr>
            <w:tcW w:w="3211"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Brian Windsor, Ph.D.</w:t>
            </w:r>
          </w:p>
        </w:tc>
      </w:tr>
      <w:tr>
        <w:trPr/>
        <w:tc>
          <w:tcPr>
            <w:tcW w:w="2056" w:type="dxa"/>
            <w:tcBorders/>
            <w:tcMar>
              <w:top w:w="0" w:type="dxa"/>
              <w:left w:w="0" w:type="dxa"/>
              <w:bottom w:w="0" w:type="dxa"/>
              <w:right w:w="0" w:type="dxa"/>
            </w:tcMar>
            <w:vAlign w:val="center"/>
          </w:tcPr>
          <w:p>
            <w:pPr>
              <w:pStyle w:val="TableContents"/>
              <w:bidi w:val="0"/>
              <w:spacing w:before="0" w:after="283"/>
              <w:jc w:val="both"/>
              <w:rPr/>
            </w:pPr>
            <w:r>
              <w:rPr/>
              <w:t> </w:t>
            </w:r>
          </w:p>
        </w:tc>
        <w:tc>
          <w:tcPr>
            <w:tcW w:w="32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Brian Windsor, Ph.D.</w:t>
            </w:r>
          </w:p>
        </w:tc>
      </w:tr>
      <w:tr>
        <w:trPr/>
        <w:tc>
          <w:tcPr>
            <w:tcW w:w="2056" w:type="dxa"/>
            <w:tcBorders/>
            <w:tcMar>
              <w:top w:w="0" w:type="dxa"/>
              <w:left w:w="0" w:type="dxa"/>
              <w:bottom w:w="0" w:type="dxa"/>
              <w:right w:w="0" w:type="dxa"/>
            </w:tcMar>
            <w:vAlign w:val="center"/>
          </w:tcPr>
          <w:p>
            <w:pPr>
              <w:pStyle w:val="TableContents"/>
              <w:bidi w:val="0"/>
              <w:spacing w:before="0" w:after="283"/>
              <w:jc w:val="both"/>
              <w:rPr/>
            </w:pPr>
            <w:r>
              <w:rPr/>
              <w:t> </w:t>
            </w:r>
          </w:p>
        </w:tc>
        <w:tc>
          <w:tcPr>
            <w:tcW w:w="321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240" w:after="283"/>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rntx-ex32_2.htm"/>
      <w:bookmarkStart w:id="26" w:name="ksrntxex32_2"/>
      <w:bookmarkEnd w:id="25"/>
      <w:bookmarkEnd w:id="26"/>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18 U.S.C. SECTION 1350, AS ADOPTED PURSUANT</w:t>
      </w:r>
    </w:p>
    <w:p>
      <w:pPr>
        <w:pStyle w:val="TextBody"/>
        <w:bidi w:val="0"/>
        <w:jc w:val="center"/>
        <w:rPr>
          <w:rFonts w:ascii="Times New Roman" w:hAnsi="Times New Roman"/>
          <w:b/>
          <w:color w:val="000000"/>
          <w:sz w:val="20"/>
        </w:rPr>
      </w:pPr>
      <w:r>
        <w:rPr>
          <w:rFonts w:ascii="Times New Roman" w:hAnsi="Times New Roman"/>
          <w:b/>
          <w:color w:val="000000"/>
          <w:sz w:val="20"/>
        </w:rPr>
        <w:t>TO 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on Form 10-Q of Rein Therapeutics, Inc. (the “Company”) for the quarter ended June 30, 2026 as filed with the Securities and Exchange Commission on the date hereof (the “Report”), I, Timothy M. Cunningham, Interim Chief Financial Officer of the Company, certify, pursuant to 18 U.S.C. § 1350, as adopted pursuant to § 906 of the Sarbanes-Oxley Act of 2002, that to my knowledge: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4742" w:type="dxa"/>
        <w:jc w:val="left"/>
        <w:tblInd w:w="0" w:type="dxa"/>
        <w:tblLayout w:type="fixed"/>
        <w:tblCellMar>
          <w:top w:w="28" w:type="dxa"/>
          <w:left w:w="28" w:type="dxa"/>
          <w:bottom w:w="28" w:type="dxa"/>
          <w:right w:w="28" w:type="dxa"/>
        </w:tblCellMar>
      </w:tblPr>
      <w:tblGrid>
        <w:gridCol w:w="2056"/>
        <w:gridCol w:w="2686"/>
      </w:tblGrid>
      <w:tr>
        <w:trPr/>
        <w:tc>
          <w:tcPr>
            <w:tcW w:w="2056"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both"/>
              <w:rPr/>
            </w:pPr>
            <w:r>
              <w:rPr/>
              <w:t> </w:t>
            </w:r>
          </w:p>
        </w:tc>
        <w:tc>
          <w:tcPr>
            <w:tcW w:w="26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aps/>
                <w:color w:val="000000"/>
                <w:sz w:val="20"/>
              </w:rPr>
            </w:pPr>
            <w:r>
              <w:rPr>
                <w:rFonts w:ascii="Times New Roman" w:hAnsi="Times New Roman"/>
                <w:b/>
                <w:caps/>
                <w:color w:val="000000"/>
                <w:sz w:val="20"/>
              </w:rPr>
              <w:t>REIN Therapeutics, Inc.</w:t>
            </w:r>
          </w:p>
        </w:tc>
      </w:tr>
      <w:tr>
        <w:trPr/>
        <w:tc>
          <w:tcPr>
            <w:tcW w:w="20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aps/>
                <w:color w:val="000000"/>
                <w:sz w:val="20"/>
              </w:rPr>
              <w:t>d</w:t>
            </w:r>
            <w:r>
              <w:rPr>
                <w:rFonts w:ascii="Times New Roman" w:hAnsi="Times New Roman"/>
                <w:color w:val="000000"/>
                <w:sz w:val="20"/>
              </w:rPr>
              <w:t>ated: August 14, 2026</w:t>
            </w:r>
          </w:p>
        </w:tc>
        <w:tc>
          <w:tcPr>
            <w:tcW w:w="2686"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Timothy M. Cunningham</w:t>
            </w:r>
          </w:p>
        </w:tc>
      </w:tr>
      <w:tr>
        <w:trPr/>
        <w:tc>
          <w:tcPr>
            <w:tcW w:w="2056" w:type="dxa"/>
            <w:tcBorders/>
            <w:tcMar>
              <w:top w:w="0" w:type="dxa"/>
              <w:left w:w="0" w:type="dxa"/>
              <w:bottom w:w="0" w:type="dxa"/>
              <w:right w:w="0" w:type="dxa"/>
            </w:tcMar>
            <w:vAlign w:val="center"/>
          </w:tcPr>
          <w:p>
            <w:pPr>
              <w:pStyle w:val="TableContents"/>
              <w:bidi w:val="0"/>
              <w:spacing w:before="0" w:after="283"/>
              <w:jc w:val="both"/>
              <w:rPr/>
            </w:pPr>
            <w:r>
              <w:rPr/>
              <w:t> </w:t>
            </w:r>
          </w:p>
        </w:tc>
        <w:tc>
          <w:tcPr>
            <w:tcW w:w="26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Timothy M. Cunningham</w:t>
            </w:r>
          </w:p>
        </w:tc>
      </w:tr>
      <w:tr>
        <w:trPr/>
        <w:tc>
          <w:tcPr>
            <w:tcW w:w="2056" w:type="dxa"/>
            <w:tcBorders/>
            <w:tcMar>
              <w:top w:w="0" w:type="dxa"/>
              <w:left w:w="0" w:type="dxa"/>
              <w:bottom w:w="0" w:type="dxa"/>
              <w:right w:w="0" w:type="dxa"/>
            </w:tcMar>
            <w:vAlign w:val="center"/>
          </w:tcPr>
          <w:p>
            <w:pPr>
              <w:pStyle w:val="TableContents"/>
              <w:bidi w:val="0"/>
              <w:spacing w:before="0" w:after="283"/>
              <w:jc w:val="both"/>
              <w:rPr/>
            </w:pPr>
            <w:r>
              <w:rPr/>
              <w:t> </w:t>
            </w:r>
          </w:p>
        </w:tc>
        <w:tc>
          <w:tcPr>
            <w:tcW w:w="2686"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Interim Chief Financial Officer</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spacing w:before="240" w:after="283"/>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20565/000156459021043417/alrn-ex31_544.htm" TargetMode="External"/><Relationship Id="rId3" Type="http://schemas.openxmlformats.org/officeDocument/2006/relationships/hyperlink" Target="https://www.sec.gov/Archives/edgar/data/1420565/000119312522282637/d379228dex31.htm" TargetMode="External"/><Relationship Id="rId4" Type="http://schemas.openxmlformats.org/officeDocument/2006/relationships/hyperlink" Target="https://www.sec.gov/Archives/edgar/data/1420565/000095017024044508/alrn-ex3_3.htm" TargetMode="External"/><Relationship Id="rId5" Type="http://schemas.openxmlformats.org/officeDocument/2006/relationships/hyperlink" Target="https://www.sec.gov/Archives/edgar/data/1420565/000119312525004443/d898488dex31.htm" TargetMode="External"/><Relationship Id="rId6" Type="http://schemas.openxmlformats.org/officeDocument/2006/relationships/hyperlink" Target="https://www.sec.gov/Archives/edgar/data/1420565/000119312525004443/d898488dex3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22408</Words>
  <Characters>122556</Characters>
  <CharactersWithSpaces>145749</CharactersWithSpaces>
  <Paragraphs>4500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