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68655d8k.htm"/>
      <w:bookmarkStart w:id="1" w:name="ksd168655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April 30,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REIN THERAPEUTICS,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705" w:type="dxa"/>
        <w:jc w:val="left"/>
        <w:tblInd w:w="0" w:type="dxa"/>
        <w:tblLayout w:type="fixed"/>
        <w:tblCellMar>
          <w:top w:w="0" w:type="dxa"/>
          <w:left w:w="0" w:type="dxa"/>
          <w:bottom w:w="0" w:type="dxa"/>
          <w:right w:w="0" w:type="dxa"/>
        </w:tblCellMar>
      </w:tblPr>
      <w:tblGrid>
        <w:gridCol w:w="2825"/>
        <w:gridCol w:w="60"/>
        <w:gridCol w:w="1385"/>
        <w:gridCol w:w="60"/>
        <w:gridCol w:w="2375"/>
      </w:tblGrid>
      <w:tr>
        <w:trPr/>
        <w:tc>
          <w:tcPr>
            <w:tcW w:w="2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001-38130</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center"/>
              <w:rPr>
                <w:b/>
              </w:rPr>
            </w:pPr>
            <w:r>
              <w:rPr>
                <w:b/>
              </w:rPr>
              <w:t>13-4196017</w:t>
            </w:r>
          </w:p>
        </w:tc>
      </w:tr>
      <w:tr>
        <w:trPr/>
        <w:tc>
          <w:tcPr>
            <w:tcW w:w="2825"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center"/>
              <w:rPr>
                <w:b/>
              </w:rPr>
            </w:pPr>
            <w:r>
              <w:rPr>
                <w:b/>
              </w:rPr>
              <w:t>(I.R.S. Employer</w:t>
              <w:br/>
              <w:t>Identification Number)</w:t>
            </w:r>
          </w:p>
        </w:tc>
      </w:tr>
    </w:tbl>
    <w:p>
      <w:pPr>
        <w:pStyle w:val="TextBody"/>
        <w:bidi w:val="0"/>
        <w:spacing w:before="0" w:after="0"/>
        <w:jc w:val="left"/>
        <w:rPr/>
      </w:pPr>
      <w:r>
        <w:rPr/>
        <w:t> </w:t>
      </w:r>
    </w:p>
    <w:tbl>
      <w:tblPr>
        <w:tblW w:w="4025" w:type="dxa"/>
        <w:jc w:val="left"/>
        <w:tblInd w:w="0" w:type="dxa"/>
        <w:tblLayout w:type="fixed"/>
        <w:tblCellMar>
          <w:top w:w="0" w:type="dxa"/>
          <w:left w:w="0" w:type="dxa"/>
          <w:bottom w:w="0" w:type="dxa"/>
          <w:right w:w="0" w:type="dxa"/>
        </w:tblCellMar>
      </w:tblPr>
      <w:tblGrid>
        <w:gridCol w:w="4025"/>
      </w:tblGrid>
      <w:tr>
        <w:trPr/>
        <w:tc>
          <w:tcPr>
            <w:tcW w:w="4025" w:type="dxa"/>
            <w:tcBorders/>
            <w:vAlign w:val="center"/>
          </w:tcPr>
          <w:p>
            <w:pPr>
              <w:pStyle w:val="TableContents"/>
              <w:bidi w:val="0"/>
              <w:spacing w:before="0" w:after="283"/>
              <w:jc w:val="left"/>
              <w:rPr>
                <w:sz w:val="4"/>
                <w:szCs w:val="4"/>
              </w:rPr>
            </w:pPr>
            <w:r>
              <w:rPr>
                <w:sz w:val="4"/>
                <w:szCs w:val="4"/>
              </w:rPr>
            </w:r>
          </w:p>
        </w:tc>
      </w:tr>
      <w:tr>
        <w:trPr/>
        <w:tc>
          <w:tcPr>
            <w:tcW w:w="4025" w:type="dxa"/>
            <w:tcBorders/>
            <w:vAlign w:val="center"/>
          </w:tcPr>
          <w:p>
            <w:pPr>
              <w:pStyle w:val="TableContents"/>
              <w:bidi w:val="0"/>
              <w:spacing w:before="0" w:after="283"/>
              <w:jc w:val="center"/>
              <w:rPr>
                <w:b/>
              </w:rPr>
            </w:pPr>
            <w:r>
              <w:rPr>
                <w:b/>
              </w:rPr>
              <w:t>12407 N. Mopac Expy., Suite 250, #390</w:t>
            </w:r>
          </w:p>
        </w:tc>
      </w:tr>
      <w:tr>
        <w:trPr/>
        <w:tc>
          <w:tcPr>
            <w:tcW w:w="4025" w:type="dxa"/>
            <w:tcBorders/>
            <w:vAlign w:val="center"/>
          </w:tcPr>
          <w:p>
            <w:pPr>
              <w:pStyle w:val="TableContents"/>
              <w:bidi w:val="0"/>
              <w:spacing w:before="0" w:after="283"/>
              <w:jc w:val="center"/>
              <w:rPr>
                <w:b/>
              </w:rPr>
            </w:pPr>
            <w:r>
              <w:rPr>
                <w:b/>
              </w:rPr>
              <w:t>Austin, Texas 78758</w:t>
            </w:r>
          </w:p>
        </w:tc>
      </w:tr>
      <w:tr>
        <w:trPr/>
        <w:tc>
          <w:tcPr>
            <w:tcW w:w="4025" w:type="dxa"/>
            <w:tcBorders/>
            <w:vAlign w:val="center"/>
          </w:tcPr>
          <w:p>
            <w:pPr>
              <w:pStyle w:val="TableContents"/>
              <w:bidi w:val="0"/>
              <w:spacing w:before="0" w:after="283"/>
              <w:jc w:val="center"/>
              <w:rPr>
                <w:b/>
              </w:rPr>
            </w:pPr>
            <w:r>
              <w:rPr>
                <w:b/>
              </w:rPr>
              <w:t>(Address of principal executive offices)</w:t>
            </w:r>
          </w:p>
        </w:tc>
      </w:tr>
    </w:tbl>
    <w:p>
      <w:pPr>
        <w:pStyle w:val="TextBody"/>
        <w:bidi w:val="0"/>
        <w:spacing w:before="240" w:after="0"/>
        <w:jc w:val="center"/>
        <w:rPr>
          <w:rFonts w:ascii="Times New Roman" w:hAnsi="Times New Roman"/>
          <w:b/>
          <w:sz w:val="20"/>
        </w:rPr>
      </w:pPr>
      <w:r>
        <w:rPr>
          <w:rFonts w:ascii="Times New Roman" w:hAnsi="Times New Roman"/>
          <w:b/>
          <w:sz w:val="20"/>
        </w:rPr>
        <w:t>(737) 802-1989</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obligations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645" w:type="dxa"/>
        <w:jc w:val="left"/>
        <w:tblInd w:w="0" w:type="dxa"/>
        <w:tblLayout w:type="fixed"/>
        <w:tblCellMar>
          <w:top w:w="0" w:type="dxa"/>
          <w:left w:w="0" w:type="dxa"/>
          <w:bottom w:w="0" w:type="dxa"/>
          <w:right w:w="0" w:type="dxa"/>
        </w:tblCellMar>
      </w:tblPr>
      <w:tblGrid>
        <w:gridCol w:w="245"/>
        <w:gridCol w:w="7400"/>
      </w:tblGrid>
      <w:tr>
        <w:trPr/>
        <w:tc>
          <w:tcPr>
            <w:tcW w:w="245" w:type="dxa"/>
            <w:tcBorders/>
            <w:vAlign w:val="center"/>
          </w:tcPr>
          <w:p>
            <w:pPr>
              <w:pStyle w:val="TableContents"/>
              <w:bidi w:val="0"/>
              <w:spacing w:before="0" w:after="283"/>
              <w:jc w:val="left"/>
              <w:rPr/>
            </w:pPr>
            <w:r>
              <w:rPr/>
              <w:t>☐</w:t>
            </w:r>
          </w:p>
        </w:tc>
        <w:tc>
          <w:tcPr>
            <w:tcW w:w="74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190" w:type="dxa"/>
        <w:jc w:val="left"/>
        <w:tblInd w:w="0" w:type="dxa"/>
        <w:tblLayout w:type="fixed"/>
        <w:tblCellMar>
          <w:top w:w="0" w:type="dxa"/>
          <w:left w:w="0" w:type="dxa"/>
          <w:bottom w:w="0" w:type="dxa"/>
          <w:right w:w="0" w:type="dxa"/>
        </w:tblCellMar>
      </w:tblPr>
      <w:tblGrid>
        <w:gridCol w:w="245"/>
        <w:gridCol w:w="8945"/>
      </w:tblGrid>
      <w:tr>
        <w:trPr/>
        <w:tc>
          <w:tcPr>
            <w:tcW w:w="245" w:type="dxa"/>
            <w:tcBorders/>
            <w:vAlign w:val="center"/>
          </w:tcPr>
          <w:p>
            <w:pPr>
              <w:pStyle w:val="TableContents"/>
              <w:bidi w:val="0"/>
              <w:spacing w:before="0" w:after="283"/>
              <w:jc w:val="left"/>
              <w:rPr/>
            </w:pPr>
            <w:r>
              <w:rPr/>
              <w:t>☐</w:t>
            </w:r>
          </w:p>
        </w:tc>
        <w:tc>
          <w:tcPr>
            <w:tcW w:w="8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080"/>
        <w:gridCol w:w="60"/>
        <w:gridCol w:w="740"/>
        <w:gridCol w:w="60"/>
        <w:gridCol w:w="2285"/>
      </w:tblGrid>
      <w:tr>
        <w:trPr/>
        <w:tc>
          <w:tcPr>
            <w:tcW w:w="30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r>
      <w:tr>
        <w:trPr/>
        <w:tc>
          <w:tcPr>
            <w:tcW w:w="30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28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080" w:type="dxa"/>
            <w:tcBorders/>
            <w:vAlign w:val="center"/>
          </w:tcPr>
          <w:p>
            <w:pPr>
              <w:pStyle w:val="TableContents"/>
              <w:bidi w:val="0"/>
              <w:spacing w:before="0" w:after="283"/>
              <w:jc w:val="center"/>
              <w:rPr/>
            </w:pPr>
            <w:r>
              <w:rPr/>
              <w:t>Common stock: Par value $.001</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RNTX</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center"/>
              <w:rPr/>
            </w:pPr>
            <w:r>
              <w:rPr/>
              <w:t xml:space="preserve">Nasdaq Capital Market </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righ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1.01 Entry into a Definitive Material Agreement. </w:t>
      </w:r>
    </w:p>
    <w:p>
      <w:pPr>
        <w:pStyle w:val="TextBody"/>
        <w:bidi w:val="0"/>
        <w:spacing w:before="120" w:after="0"/>
        <w:jc w:val="left"/>
        <w:rPr>
          <w:rFonts w:ascii="Times New Roman" w:hAnsi="Times New Roman"/>
          <w:sz w:val="20"/>
        </w:rPr>
      </w:pPr>
      <w:r>
        <w:rPr>
          <w:rFonts w:ascii="Times New Roman" w:hAnsi="Times New Roman"/>
          <w:i/>
          <w:sz w:val="20"/>
        </w:rPr>
        <w:t>Underwriting Agreement with Konik Capital Partners, LL</w:t>
      </w:r>
      <w:r>
        <w:rPr>
          <w:rFonts w:ascii="Times New Roman" w:hAnsi="Times New Roman"/>
          <w:sz w:val="20"/>
        </w:rPr>
        <w:t xml:space="preserve">C </w:t>
      </w:r>
    </w:p>
    <w:p>
      <w:pPr>
        <w:pStyle w:val="TextBody"/>
        <w:bidi w:val="0"/>
        <w:spacing w:before="120" w:after="0"/>
        <w:jc w:val="left"/>
        <w:rPr>
          <w:rFonts w:ascii="Times New Roman" w:hAnsi="Times New Roman"/>
          <w:sz w:val="20"/>
        </w:rPr>
      </w:pPr>
      <w:r>
        <w:rPr>
          <w:rFonts w:ascii="Times New Roman" w:hAnsi="Times New Roman"/>
          <w:sz w:val="20"/>
        </w:rPr>
        <w:t xml:space="preserve">On April 30, 2026, Rein Therapeutics, Inc., a Delaware corporation (the “Company”), entered into an Underwriting Agreement (the “Underwriting Agreement”) with Konik Capital Partners, LLC, a division of T.R. Winston &amp; Company, LLC, acting as sole book-running manager, relating to the issuance and sale of 50,000,000 shares of the Company’s common stock, par value $0.001 per share (the “Offering”). The price to the public in the Offering is $1.00 per share, before underwriting discounts and commissions. Under the terms of the Underwriting Agreement, the Company granted the Underwriter an overallotment option, exercisable for 45 days, to purchase up to 7,500,000 additional shares of common stock from the Company at the public offering price, less underwriting discounts and commissions. </w:t>
      </w:r>
    </w:p>
    <w:p>
      <w:pPr>
        <w:pStyle w:val="TextBody"/>
        <w:bidi w:val="0"/>
        <w:spacing w:before="240" w:after="0"/>
        <w:jc w:val="left"/>
        <w:rPr>
          <w:rFonts w:ascii="Times New Roman" w:hAnsi="Times New Roman"/>
          <w:sz w:val="20"/>
        </w:rPr>
      </w:pPr>
      <w:r>
        <w:rPr>
          <w:rFonts w:ascii="Times New Roman" w:hAnsi="Times New Roman"/>
          <w:sz w:val="20"/>
        </w:rPr>
        <w:t xml:space="preserve">On May 4, 2026, the parties closed on the issuance and sale of 50,000,000 shares of the Company’s common stock under the Underwriting Agreement. The net proceeds to the Company from the Offering are expected to be approximately $46.1 million, after deducting underwriting discounts and commissions and estimated Offering expenses payable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Offering was made pursuant to the Company’s registration statement on Form S-1 (File No. 333-295390), which was declared effective by the Securities and Exchange Commission (the “SEC”) on April 30, 2026 under the Securities Act of 1933, as amended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Underwriting Agreement contains customary representations, warranties and agreements by the Company, customary conditions to closing, indemnification obligations of the Company and the Underwriters, including for liabilities under the Securities Act, other obligations of the parties, and termination provisions. A copy of the Underwriting Agreement is filed as Exhibit 1.1 to this Current Report and is incorporated herein by reference. The foregoing description of the terms of the Underwriting Agreement is qualified in its entirety by the Underwriting Agreement.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issued to the Underwriter or its designees warrants to purchase up to a total of 3% of the shares of common stock sold in the Offering (including the shares sold through the exercise of the over-allotment option). The warrants are exercisable at $1.50 per share (150% of the public offering price per share) for a five (5) year period ending April 30, 2031 in compliance with FINRA Rule 5110(g)(8)(A). The warrants have been deemed compensation by FINRA and are therefore subject to a 180-day lock-up pursuant to FINRA Rule 5110(e). </w:t>
      </w:r>
    </w:p>
    <w:p>
      <w:pPr>
        <w:pStyle w:val="TextBody"/>
        <w:bidi w:val="0"/>
        <w:spacing w:before="240" w:after="0"/>
        <w:jc w:val="left"/>
        <w:rPr>
          <w:rFonts w:ascii="Times New Roman" w:hAnsi="Times New Roman"/>
          <w:sz w:val="20"/>
        </w:rPr>
      </w:pPr>
      <w:r>
        <w:rPr>
          <w:rFonts w:ascii="Times New Roman" w:hAnsi="Times New Roman"/>
          <w:sz w:val="20"/>
        </w:rPr>
        <w:t xml:space="preserve">This Current Report contains forward-looking statements that involve risks and uncertainties, such as statements related to the anticipated closing of the Offering and the amount of net proceeds expected from the Offering. The risks and uncertainties involved include, but are not limited to, the Company’s ability to satisfy certain conditions to closing on a timely basis, or at all, as well as other risks detailed from time to time in the Company’s SEC filings. </w:t>
      </w:r>
    </w:p>
    <w:p>
      <w:pPr>
        <w:pStyle w:val="TextBody"/>
        <w:bidi w:val="0"/>
        <w:spacing w:before="360" w:after="0"/>
        <w:jc w:val="left"/>
        <w:rPr>
          <w:rFonts w:ascii="Times New Roman" w:hAnsi="Times New Roman"/>
          <w:b/>
          <w:sz w:val="20"/>
        </w:rPr>
      </w:pPr>
      <w:r>
        <w:rPr>
          <w:rFonts w:ascii="Times New Roman" w:hAnsi="Times New Roman"/>
          <w:b/>
          <w:sz w:val="20"/>
        </w:rPr>
        <w:t xml:space="preserve">Item 8.01 Other Events </w:t>
      </w:r>
    </w:p>
    <w:p>
      <w:pPr>
        <w:pStyle w:val="TextBody"/>
        <w:bidi w:val="0"/>
        <w:spacing w:before="120" w:after="0"/>
        <w:jc w:val="left"/>
        <w:rPr>
          <w:rFonts w:ascii="Times New Roman" w:hAnsi="Times New Roman"/>
          <w:sz w:val="20"/>
        </w:rPr>
      </w:pPr>
      <w:r>
        <w:rPr>
          <w:rFonts w:ascii="Times New Roman" w:hAnsi="Times New Roman"/>
          <w:sz w:val="20"/>
        </w:rPr>
        <w:t xml:space="preserve">On April 30, 2026, the Company issued a press release announcing that it had priced the Offering. A copy of the Company’s press release is attached as Exhibit 99.1 hereto.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connection with the Offering, Greenberg Traurig, LLP provided the Company with the updated legal opinion attached to this Current Report on Form 8-K as Exhibit 5.1. </w:t>
      </w:r>
    </w:p>
    <w:p>
      <w:pPr>
        <w:pStyle w:val="TextBody"/>
        <w:bidi w:val="0"/>
        <w:spacing w:before="240" w:after="0"/>
        <w:jc w:val="left"/>
        <w:rPr>
          <w:rFonts w:ascii="Times New Roman" w:hAnsi="Times New Roman"/>
          <w:sz w:val="20"/>
        </w:rPr>
      </w:pPr>
      <w:r>
        <w:rPr>
          <w:rFonts w:ascii="Times New Roman" w:hAnsi="Times New Roman"/>
          <w:sz w:val="20"/>
        </w:rPr>
        <w:t xml:space="preserve">This Current Report on Form 8-K shall not constitute an offer to sell or a solicitation of an offer to buy shares of common stock or any other securities of the Company, and shall not constitute an offer, solicitation or sale in any jurisdiction in which such an offer, solicitation or sale would be unlawful. </w:t>
      </w:r>
    </w:p>
    <w:p>
      <w:pPr>
        <w:pStyle w:val="TextBody"/>
        <w:bidi w:val="0"/>
        <w:spacing w:before="360" w:after="0"/>
        <w:jc w:val="left"/>
        <w:rPr>
          <w:rFonts w:ascii="Times New Roman" w:hAnsi="Times New Roman"/>
          <w:i/>
          <w:sz w:val="20"/>
        </w:rPr>
      </w:pPr>
      <w:r>
        <w:rPr>
          <w:rFonts w:ascii="Times New Roman" w:hAnsi="Times New Roman"/>
          <w:i/>
          <w:sz w:val="20"/>
        </w:rPr>
        <w:t xml:space="preserve">Bios Letter Agreement </w:t>
      </w:r>
    </w:p>
    <w:p>
      <w:pPr>
        <w:pStyle w:val="TextBody"/>
        <w:bidi w:val="0"/>
        <w:spacing w:before="120" w:after="0"/>
        <w:jc w:val="left"/>
        <w:rPr/>
      </w:pPr>
      <w:r>
        <w:rPr>
          <w:rFonts w:ascii="Times New Roman" w:hAnsi="Times New Roman"/>
          <w:sz w:val="20"/>
        </w:rPr>
        <w:t xml:space="preserve">On April 30, 2026, the Company entered into a letter agreement with Bios Partners, L.P., on behalf of certain Bios entities holding securities of the Company, pursuant to which the Bios entities agreed to defer the conversion of 12,232 shares (“Preferred Shares”) of Series X Non-Voting Convertible Preferred Stock of the Company held by the Bios entities, and waive the Company’s obligation in the Company’s </w:t>
      </w:r>
      <w:hyperlink r:id="rId2">
        <w:r>
          <w:rPr>
            <w:rStyle w:val="InternetLink"/>
            <w:rFonts w:ascii="Times New Roman" w:hAnsi="Times New Roman"/>
            <w:sz w:val="20"/>
          </w:rPr>
          <w:t>Certificate of Designation of Series X Non-Voting Convertible Preferred Stock</w:t>
        </w:r>
      </w:hyperlink>
      <w:r>
        <w:rPr>
          <w:rFonts w:ascii="Times New Roman" w:hAnsi="Times New Roman"/>
          <w:sz w:val="20"/>
        </w:rPr>
        <w:t xml:space="preserve"> to reserve the shares of common stock (“Underlying Shares”) issuable upon exercise of the Preferred Shares until such time as the Company has amended its Restated Certificate of Incorporation to increase its authorized common stock. In addition, the Bios entities have agreed, subject to certain exceptions, not to sell, transfer or dispose of, directly or indirectly, any Preferred Shares or Underlying Shares for a period ending April 30, 2029. In consideration of the agreements and waivers of the Bios entities, the Company has agreed to issue to the Bios entities at the closing of the Offering warrants to purchase 3,000,000 shares of the Company’s common stock at an exercise price of $1.00 per share. The warrants to be issued to the Bios entities shall be on substantially the same terms as the Underwriter’s warrant, except for the exercise price.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b/>
          <w:sz w:val="20"/>
        </w:rPr>
      </w:pPr>
      <w:r>
        <w:rPr>
          <w:rFonts w:ascii="Times New Roman" w:hAnsi="Times New Roman"/>
          <w:b/>
          <w:sz w:val="20"/>
        </w:rPr>
        <w:t>(d) Exhibits</w:t>
      </w:r>
    </w:p>
    <w:p>
      <w:pPr>
        <w:pStyle w:val="TextBody"/>
        <w:bidi w:val="0"/>
        <w:spacing w:before="120" w:after="0"/>
        <w:jc w:val="left"/>
        <w:rPr>
          <w:rFonts w:ascii="Times New Roman" w:hAnsi="Times New Roman"/>
          <w:sz w:val="20"/>
        </w:rPr>
      </w:pPr>
      <w:r>
        <w:rPr>
          <w:rFonts w:ascii="Times New Roman" w:hAnsi="Times New Roman"/>
          <w:sz w:val="20"/>
        </w:rPr>
        <w:t xml:space="preserve">The following exhibits are filed with this report: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20"/>
        <w:gridCol w:w="120"/>
        <w:gridCol w:w="946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6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Number</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center"/>
              <w:rPr>
                <w:b/>
              </w:rPr>
            </w:pPr>
            <w:r>
              <w:rPr>
                <w:b/>
              </w:rPr>
              <w:t>Exhibit 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68655dex11.htm">
              <w:r>
                <w:rPr>
                  <w:rStyle w:val="InternetLink"/>
                </w:rPr>
                <w:t xml:space="preserve">Underwriting Agreement dated April 30, 2026 between the Company and Konik Capital Partners, LLC, a division of T.R. Winston &amp; Company, LLC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5.1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68655dex51.htm">
              <w:r>
                <w:rPr>
                  <w:rStyle w:val="InternetLink"/>
                </w:rPr>
                <w:t xml:space="preserve">Opinion of Greenberg Traurig, LLP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168655dex991.htm">
              <w:r>
                <w:rPr>
                  <w:rStyle w:val="InternetLink"/>
                </w:rPr>
                <w:t xml:space="preserve">Press Release dated April 30, 2026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801" w:type="dxa"/>
        <w:jc w:val="left"/>
        <w:tblInd w:w="0" w:type="dxa"/>
        <w:tblLayout w:type="fixed"/>
        <w:tblCellMar>
          <w:top w:w="0" w:type="dxa"/>
          <w:left w:w="0" w:type="dxa"/>
          <w:bottom w:w="0" w:type="dxa"/>
          <w:right w:w="0" w:type="dxa"/>
        </w:tblCellMar>
      </w:tblPr>
      <w:tblGrid>
        <w:gridCol w:w="1940"/>
        <w:gridCol w:w="60"/>
        <w:gridCol w:w="23"/>
        <w:gridCol w:w="60"/>
        <w:gridCol w:w="23"/>
        <w:gridCol w:w="60"/>
        <w:gridCol w:w="3635"/>
      </w:tblGrid>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718" w:type="dxa"/>
            <w:gridSpan w:val="3"/>
            <w:tcBorders/>
            <w:vAlign w:val="center"/>
          </w:tcPr>
          <w:p>
            <w:pPr>
              <w:pStyle w:val="TableContents"/>
              <w:bidi w:val="0"/>
              <w:spacing w:before="0" w:after="283"/>
              <w:jc w:val="left"/>
              <w:rPr>
                <w:b/>
              </w:rPr>
            </w:pPr>
            <w:r>
              <w:rPr>
                <w:b/>
              </w:rPr>
              <w:t>REIN THERAPEUTICS, INC.</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3695" w:type="dxa"/>
            <w:gridSpan w:val="2"/>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pPr>
            <w:r>
              <w:rPr/>
              <w:t>Dated: May 4,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Brian Windsor</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Brian Windsor, Ph.D.,</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President and Chief Executive Officer</w:t>
            </w:r>
          </w:p>
        </w:tc>
      </w:tr>
    </w:tbl>
    <w:p>
      <w:pPr>
        <w:pStyle w:val="TextBody"/>
        <w:bidi w:val="0"/>
        <w:spacing w:before="0" w:after="0"/>
        <w:jc w:val="right"/>
        <w:rPr>
          <w:rFonts w:ascii="Times New Roman" w:hAnsi="Times New Roman"/>
          <w:b/>
          <w:sz w:val="20"/>
        </w:rPr>
      </w:pPr>
      <w:bookmarkStart w:id="2" w:name="d168655dex11.htm"/>
      <w:bookmarkStart w:id="3" w:name="ksd168655dex11"/>
      <w:bookmarkEnd w:id="2"/>
      <w:bookmarkEnd w:id="3"/>
      <w:r>
        <w:rPr>
          <w:rFonts w:ascii="Times New Roman" w:hAnsi="Times New Roman"/>
          <w:b/>
          <w:sz w:val="20"/>
        </w:rPr>
        <w:t xml:space="preserve">Exhibit 1.1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UNDERWRITING AGREEMENT </w:t>
      </w:r>
    </w:p>
    <w:p>
      <w:pPr>
        <w:pStyle w:val="TextBody"/>
        <w:bidi w:val="0"/>
        <w:spacing w:before="120" w:after="0"/>
        <w:jc w:val="center"/>
        <w:rPr>
          <w:rFonts w:ascii="Times New Roman" w:hAnsi="Times New Roman"/>
          <w:b/>
          <w:sz w:val="20"/>
        </w:rPr>
      </w:pPr>
      <w:r>
        <w:rPr>
          <w:rFonts w:ascii="Times New Roman" w:hAnsi="Times New Roman"/>
          <w:b/>
          <w:sz w:val="20"/>
        </w:rPr>
        <w:t xml:space="preserve">between </w:t>
      </w:r>
    </w:p>
    <w:p>
      <w:pPr>
        <w:pStyle w:val="TextBody"/>
        <w:bidi w:val="0"/>
        <w:spacing w:before="120" w:after="0"/>
        <w:jc w:val="center"/>
        <w:rPr>
          <w:rFonts w:ascii="Times New Roman" w:hAnsi="Times New Roman"/>
          <w:b/>
          <w:sz w:val="20"/>
        </w:rPr>
      </w:pPr>
      <w:r>
        <w:rPr>
          <w:rFonts w:ascii="Times New Roman" w:hAnsi="Times New Roman"/>
          <w:b/>
          <w:sz w:val="20"/>
        </w:rPr>
        <w:t xml:space="preserve">REIN THERAPEUTICS, INC. </w:t>
      </w:r>
    </w:p>
    <w:p>
      <w:pPr>
        <w:pStyle w:val="TextBody"/>
        <w:bidi w:val="0"/>
        <w:spacing w:before="120" w:after="0"/>
        <w:jc w:val="center"/>
        <w:rPr>
          <w:rFonts w:ascii="Times New Roman" w:hAnsi="Times New Roman"/>
          <w:b/>
          <w:sz w:val="20"/>
        </w:rPr>
      </w:pPr>
      <w:r>
        <w:rPr>
          <w:rFonts w:ascii="Times New Roman" w:hAnsi="Times New Roman"/>
          <w:b/>
          <w:sz w:val="20"/>
        </w:rPr>
        <w:t xml:space="preserve">and </w:t>
      </w:r>
    </w:p>
    <w:p>
      <w:pPr>
        <w:pStyle w:val="TextBody"/>
        <w:bidi w:val="0"/>
        <w:spacing w:before="120" w:after="0"/>
        <w:jc w:val="center"/>
        <w:rPr>
          <w:rFonts w:ascii="Times New Roman" w:hAnsi="Times New Roman"/>
          <w:b/>
          <w:sz w:val="20"/>
        </w:rPr>
      </w:pPr>
      <w:r>
        <w:rPr>
          <w:rFonts w:ascii="Times New Roman" w:hAnsi="Times New Roman"/>
          <w:b/>
          <w:sz w:val="20"/>
        </w:rPr>
        <w:t xml:space="preserve">KONIK CAPITAL PARTNERS, LLC, </w:t>
      </w:r>
    </w:p>
    <w:p>
      <w:pPr>
        <w:pStyle w:val="TextBody"/>
        <w:bidi w:val="0"/>
        <w:spacing w:before="120" w:after="0"/>
        <w:jc w:val="center"/>
        <w:rPr>
          <w:rFonts w:ascii="Times New Roman" w:hAnsi="Times New Roman"/>
          <w:b/>
          <w:sz w:val="20"/>
        </w:rPr>
      </w:pPr>
      <w:r>
        <w:rPr>
          <w:rFonts w:ascii="Times New Roman" w:hAnsi="Times New Roman"/>
          <w:b/>
          <w:sz w:val="20"/>
        </w:rPr>
        <w:t xml:space="preserve">A DIVISION OF T.R. WINSTON AND COMPANY </w:t>
      </w:r>
    </w:p>
    <w:p>
      <w:pPr>
        <w:pStyle w:val="TextBody"/>
        <w:bidi w:val="0"/>
        <w:spacing w:before="120" w:after="0"/>
        <w:jc w:val="center"/>
        <w:rPr>
          <w:rFonts w:ascii="Times New Roman" w:hAnsi="Times New Roman"/>
          <w:b/>
          <w:sz w:val="20"/>
        </w:rPr>
      </w:pPr>
      <w:r>
        <w:rPr>
          <w:rFonts w:ascii="Times New Roman" w:hAnsi="Times New Roman"/>
          <w:b/>
          <w:sz w:val="20"/>
        </w:rPr>
        <w:t xml:space="preserve">as Representative of the Several Underwriters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REIN THERAPEUTICS, INC.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UNDERWRITING AGREEMENT </w:t>
      </w:r>
    </w:p>
    <w:p>
      <w:pPr>
        <w:pStyle w:val="TextBody"/>
        <w:bidi w:val="0"/>
        <w:spacing w:before="240" w:after="0"/>
        <w:jc w:val="right"/>
        <w:rPr>
          <w:rFonts w:ascii="Times New Roman" w:hAnsi="Times New Roman"/>
          <w:sz w:val="20"/>
        </w:rPr>
      </w:pPr>
      <w:r>
        <w:rPr>
          <w:rFonts w:ascii="Times New Roman" w:hAnsi="Times New Roman"/>
          <w:sz w:val="20"/>
        </w:rPr>
        <w:t xml:space="preserve">New York, New York </w:t>
      </w:r>
    </w:p>
    <w:p>
      <w:pPr>
        <w:pStyle w:val="TextBody"/>
        <w:bidi w:val="0"/>
        <w:spacing w:before="0" w:after="0"/>
        <w:jc w:val="right"/>
        <w:rPr>
          <w:rFonts w:ascii="Times New Roman" w:hAnsi="Times New Roman"/>
          <w:sz w:val="20"/>
        </w:rPr>
      </w:pPr>
      <w:r>
        <w:rPr>
          <w:rFonts w:ascii="Times New Roman" w:hAnsi="Times New Roman"/>
          <w:sz w:val="20"/>
        </w:rPr>
        <w:t xml:space="preserve">April 30, 2026 </w:t>
      </w:r>
    </w:p>
    <w:p>
      <w:pPr>
        <w:pStyle w:val="TextBody"/>
        <w:bidi w:val="0"/>
        <w:spacing w:before="240" w:after="0"/>
        <w:jc w:val="left"/>
        <w:rPr>
          <w:rFonts w:ascii="Times New Roman" w:hAnsi="Times New Roman"/>
          <w:sz w:val="20"/>
        </w:rPr>
      </w:pPr>
      <w:r>
        <w:rPr>
          <w:rFonts w:ascii="Times New Roman" w:hAnsi="Times New Roman"/>
          <w:sz w:val="20"/>
        </w:rPr>
        <w:t xml:space="preserve">Konik Capital Partners, LLC, </w:t>
      </w:r>
    </w:p>
    <w:p>
      <w:pPr>
        <w:pStyle w:val="TextBody"/>
        <w:bidi w:val="0"/>
        <w:spacing w:before="0" w:after="0"/>
        <w:jc w:val="left"/>
        <w:rPr>
          <w:rFonts w:ascii="Times New Roman" w:hAnsi="Times New Roman"/>
          <w:sz w:val="20"/>
        </w:rPr>
      </w:pPr>
      <w:r>
        <w:rPr>
          <w:rFonts w:ascii="Times New Roman" w:hAnsi="Times New Roman"/>
          <w:sz w:val="20"/>
        </w:rPr>
        <w:t xml:space="preserve">A Division of T.R. Winston and Company </w:t>
      </w:r>
    </w:p>
    <w:p>
      <w:pPr>
        <w:pStyle w:val="TextBody"/>
        <w:bidi w:val="0"/>
        <w:spacing w:before="240" w:after="0"/>
        <w:jc w:val="left"/>
        <w:rPr>
          <w:rFonts w:ascii="Times New Roman" w:hAnsi="Times New Roman"/>
          <w:sz w:val="20"/>
        </w:rPr>
      </w:pPr>
      <w:r>
        <w:rPr>
          <w:rFonts w:ascii="Times New Roman" w:hAnsi="Times New Roman"/>
          <w:sz w:val="20"/>
        </w:rPr>
        <w:t xml:space="preserve">As Representative of the several Underwriters named on Schedule 1 attached hereto </w:t>
      </w:r>
    </w:p>
    <w:p>
      <w:pPr>
        <w:pStyle w:val="TextBody"/>
        <w:bidi w:val="0"/>
        <w:spacing w:before="0" w:after="0"/>
        <w:jc w:val="left"/>
        <w:rPr>
          <w:rFonts w:ascii="Times New Roman" w:hAnsi="Times New Roman"/>
          <w:sz w:val="20"/>
        </w:rPr>
      </w:pPr>
      <w:r>
        <w:rPr>
          <w:rFonts w:ascii="Times New Roman" w:hAnsi="Times New Roman"/>
          <w:sz w:val="20"/>
        </w:rPr>
        <w:t xml:space="preserve">7 World Trade Center, 46th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NY 10007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The undersigned, Rein Therapeutics, Inc., a corporation formed under the laws of the State of Delaware (collectively with its subsidiaries and affiliates, including, without limitation, all entities disclosed or described in the Registration Statement (as hereinafter defined) as being subsidiaries or affiliates of Rein Therapeutics, Inc., the “</w:t>
      </w:r>
      <w:r>
        <w:rPr>
          <w:rFonts w:ascii="Times New Roman" w:hAnsi="Times New Roman"/>
          <w:b/>
          <w:sz w:val="20"/>
        </w:rPr>
        <w:t>Company</w:t>
      </w:r>
      <w:r>
        <w:rPr>
          <w:rFonts w:ascii="Times New Roman" w:hAnsi="Times New Roman"/>
          <w:sz w:val="20"/>
        </w:rPr>
        <w:t>”), hereby confirms its agreement (this “</w:t>
      </w:r>
      <w:r>
        <w:rPr>
          <w:rFonts w:ascii="Times New Roman" w:hAnsi="Times New Roman"/>
          <w:b/>
          <w:sz w:val="20"/>
        </w:rPr>
        <w:t>Agreement</w:t>
      </w:r>
      <w:r>
        <w:rPr>
          <w:rFonts w:ascii="Times New Roman" w:hAnsi="Times New Roman"/>
          <w:sz w:val="20"/>
        </w:rPr>
        <w:t>”) with Konik Capital Partners, LLC, a division of T.R. Winston and Company (hereinafter referred to as “you” (including its correlatives) or the “</w:t>
      </w:r>
      <w:r>
        <w:rPr>
          <w:rFonts w:ascii="Times New Roman" w:hAnsi="Times New Roman"/>
          <w:b/>
          <w:sz w:val="20"/>
        </w:rPr>
        <w:t>Representative</w:t>
      </w:r>
      <w:r>
        <w:rPr>
          <w:rFonts w:ascii="Times New Roman" w:hAnsi="Times New Roman"/>
          <w:sz w:val="20"/>
        </w:rPr>
        <w:t xml:space="preserve">”) and with the other underwriters named on </w:t>
      </w:r>
      <w:r>
        <w:rPr>
          <w:rFonts w:ascii="Times New Roman" w:hAnsi="Times New Roman"/>
          <w:sz w:val="20"/>
          <w:u w:val="single"/>
        </w:rPr>
        <w:t>Schedule 1</w:t>
      </w:r>
      <w:r>
        <w:rPr>
          <w:rFonts w:ascii="Times New Roman" w:hAnsi="Times New Roman"/>
          <w:sz w:val="20"/>
        </w:rPr>
        <w:t xml:space="preserve"> hereto for which the Representative is acting as representative (the Representative and such other underwriters being collectively called the “</w:t>
      </w:r>
      <w:r>
        <w:rPr>
          <w:rFonts w:ascii="Times New Roman" w:hAnsi="Times New Roman"/>
          <w:b/>
          <w:sz w:val="20"/>
        </w:rPr>
        <w:t>Underwriters</w:t>
      </w:r>
      <w:r>
        <w:rPr>
          <w:rFonts w:ascii="Times New Roman" w:hAnsi="Times New Roman"/>
          <w:sz w:val="20"/>
        </w:rPr>
        <w:t>” or, individually, an “</w:t>
      </w:r>
      <w:r>
        <w:rPr>
          <w:rFonts w:ascii="Times New Roman" w:hAnsi="Times New Roman"/>
          <w:b/>
          <w:sz w:val="20"/>
        </w:rPr>
        <w:t>Underwriter</w:t>
      </w:r>
      <w:r>
        <w:rPr>
          <w:rFonts w:ascii="Times New Roman" w:hAnsi="Times New Roman"/>
          <w:sz w:val="20"/>
        </w:rPr>
        <w:t xml:space="preserve">”) as follows: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Purchase and Sale of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i/>
          <w:sz w:val="20"/>
          <w:u w:val="single"/>
        </w:rPr>
        <w:t>Firm Shares</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1.1.1. </w:t>
      </w:r>
      <w:r>
        <w:rPr>
          <w:rFonts w:ascii="Times New Roman" w:hAnsi="Times New Roman"/>
          <w:sz w:val="20"/>
          <w:u w:val="single"/>
        </w:rPr>
        <w:t>Nature and Purchase of Firm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On the basis of the representations and warranties herein contained, but subject to the terms and conditions herein set forth, the Company agrees to issue and sell to the several Underwriters, an aggregate of 50,000,000 shares (the “</w:t>
      </w:r>
      <w:r>
        <w:rPr>
          <w:rFonts w:ascii="Times New Roman" w:hAnsi="Times New Roman"/>
          <w:b/>
          <w:sz w:val="20"/>
        </w:rPr>
        <w:t>Firm Shares</w:t>
      </w:r>
      <w:r>
        <w:rPr>
          <w:rFonts w:ascii="Times New Roman" w:hAnsi="Times New Roman"/>
          <w:sz w:val="20"/>
        </w:rPr>
        <w:t>”) of the Company’s common stock, par value $0.001 per share (the “</w:t>
      </w:r>
      <w:r>
        <w:rPr>
          <w:rFonts w:ascii="Times New Roman" w:hAnsi="Times New Roman"/>
          <w:b/>
          <w:sz w:val="20"/>
        </w:rPr>
        <w:t>Common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 The Underwriters, severally and not jointly, agree to purchase from the Company the number of Firm Shares set forth opposite their respective names on </w:t>
      </w:r>
      <w:r>
        <w:rPr>
          <w:rFonts w:ascii="Times New Roman" w:hAnsi="Times New Roman"/>
          <w:sz w:val="20"/>
          <w:u w:val="single"/>
        </w:rPr>
        <w:t>Schedule 1</w:t>
      </w:r>
      <w:r>
        <w:rPr>
          <w:rFonts w:ascii="Times New Roman" w:hAnsi="Times New Roman"/>
          <w:sz w:val="20"/>
        </w:rPr>
        <w:t xml:space="preserve"> attached hereto and made a part hereof at a purchase price of $0.93 per share (93% of the per Firm Share offering price). The Firm Shares are to be offered initially to the public at the offering price set forth on the cover page of the Prospectus (as defined in Section 2.1.1 hereof). </w:t>
      </w:r>
    </w:p>
    <w:p>
      <w:pPr>
        <w:pStyle w:val="TextBody"/>
        <w:bidi w:val="0"/>
        <w:spacing w:before="240" w:after="0"/>
        <w:jc w:val="left"/>
        <w:rPr>
          <w:rFonts w:ascii="Times New Roman" w:hAnsi="Times New Roman"/>
          <w:sz w:val="20"/>
        </w:rPr>
      </w:pPr>
      <w:r>
        <w:rPr>
          <w:rFonts w:ascii="Times New Roman" w:hAnsi="Times New Roman"/>
          <w:sz w:val="20"/>
        </w:rPr>
        <w:t xml:space="preserve">1.1.2. </w:t>
      </w:r>
      <w:r>
        <w:rPr>
          <w:rFonts w:ascii="Times New Roman" w:hAnsi="Times New Roman"/>
          <w:sz w:val="20"/>
          <w:u w:val="single"/>
        </w:rPr>
        <w:t>Shares Payment and Delivery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Delivery and payment for the Firm Shares shall be made at 10:00 a.m., Eastern time, on the first (1st) Business Day following the effective date (the “</w:t>
      </w:r>
      <w:r>
        <w:rPr>
          <w:rFonts w:ascii="Times New Roman" w:hAnsi="Times New Roman"/>
          <w:b/>
          <w:sz w:val="20"/>
        </w:rPr>
        <w:t>Effective Date</w:t>
      </w:r>
      <w:r>
        <w:rPr>
          <w:rFonts w:ascii="Times New Roman" w:hAnsi="Times New Roman"/>
          <w:sz w:val="20"/>
        </w:rPr>
        <w:t>”) of the Registration Statement (as defined in Section 2.1.1 below) (or the second (2nd) Business Day following the Effective Date if the Registration Statement is declared effective after 4:01 p.m., Eastern time) or at such earlier time as shall be agreed upon by the Representative and the Company, at the offices of Lucosky Brookman LLP, at 101 Wood Avenue South, Woodbridge, New Jersey 08830 (“</w:t>
      </w:r>
      <w:r>
        <w:rPr>
          <w:rFonts w:ascii="Times New Roman" w:hAnsi="Times New Roman"/>
          <w:b/>
          <w:sz w:val="20"/>
        </w:rPr>
        <w:t>Representative Counsel</w:t>
      </w:r>
      <w:r>
        <w:rPr>
          <w:rFonts w:ascii="Times New Roman" w:hAnsi="Times New Roman"/>
          <w:sz w:val="20"/>
        </w:rPr>
        <w:t>”), or at such other place (or remotely by facsimile or other electronic transmission) as shall be agreed upon by the Representative and the Company. The hour and date of delivery and payment for the Firm Shares is called the “</w:t>
      </w:r>
      <w:r>
        <w:rPr>
          <w:rFonts w:ascii="Times New Roman" w:hAnsi="Times New Roman"/>
          <w:b/>
          <w:sz w:val="20"/>
        </w:rPr>
        <w:t>Closing Date</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(ii) Payment for the Firm Shares shall be made on the Closing Date by wire transfer in Federal (same day) funds, payable to the order of the Company upon delivery of the certificates (in form and substance satisfactory to the Underwriters) representing the Firm Shares (or through the facilities of the Depository Trust Company (“</w:t>
      </w:r>
      <w:r>
        <w:rPr>
          <w:rFonts w:ascii="Times New Roman" w:hAnsi="Times New Roman"/>
          <w:b/>
          <w:sz w:val="20"/>
        </w:rPr>
        <w:t>DTC</w:t>
      </w:r>
      <w:r>
        <w:rPr>
          <w:rFonts w:ascii="Times New Roman" w:hAnsi="Times New Roman"/>
          <w:sz w:val="20"/>
        </w:rPr>
        <w:t>”)) for the account of the Underwriters. The Firm Shares shall be registered in such name or names and in such authorized denominations as the Representative may request in writing at least one (1) full Business Day prior to the Closing Date. The Company shall not be obligated to sell or deliver the Firm Shares except upon tender of payment by the Representative for all of the Firm Shares. The term “</w:t>
      </w:r>
      <w:r>
        <w:rPr>
          <w:rFonts w:ascii="Times New Roman" w:hAnsi="Times New Roman"/>
          <w:b/>
          <w:sz w:val="20"/>
        </w:rPr>
        <w:t>Business Day</w:t>
      </w:r>
      <w:r>
        <w:rPr>
          <w:rFonts w:ascii="Times New Roman" w:hAnsi="Times New Roman"/>
          <w:sz w:val="20"/>
        </w:rPr>
        <w:t xml:space="preserve">” means any day other than a Saturday, a Sunday or a legal holiday or a day on which banking institutions are authorized or obligated by law to close in New York, New York.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i/>
          <w:sz w:val="20"/>
          <w:u w:val="single"/>
        </w:rPr>
        <w:t>Over-allotment Option</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1.2.1. </w:t>
      </w:r>
      <w:r>
        <w:rPr>
          <w:rFonts w:ascii="Times New Roman" w:hAnsi="Times New Roman"/>
          <w:sz w:val="20"/>
          <w:u w:val="single"/>
        </w:rPr>
        <w:t>Option Shares</w:t>
      </w:r>
      <w:r>
        <w:rPr>
          <w:rFonts w:ascii="Times New Roman" w:hAnsi="Times New Roman"/>
          <w:sz w:val="20"/>
        </w:rPr>
        <w:t>. For the purposes of covering any over-allotments in connection with the distribution and sale of the Firm Shares, the Company hereby grants to the Underwriters an option to purchase up to 7,500,000 additional shares of Common Stock, representing fifteen percent (15%) of the Firm Shares sold in the offering, from the Company (the “</w:t>
      </w:r>
      <w:r>
        <w:rPr>
          <w:rFonts w:ascii="Times New Roman" w:hAnsi="Times New Roman"/>
          <w:b/>
          <w:sz w:val="20"/>
        </w:rPr>
        <w:t>Over-allotment Option</w:t>
      </w:r>
      <w:r>
        <w:rPr>
          <w:rFonts w:ascii="Times New Roman" w:hAnsi="Times New Roman"/>
          <w:sz w:val="20"/>
        </w:rPr>
        <w:t>”). Such 7,500,000 additional shares of Common Stock, the net proceeds of which will be deposited with the Company’s account, are hereinafter referred to as “</w:t>
      </w:r>
      <w:r>
        <w:rPr>
          <w:rFonts w:ascii="Times New Roman" w:hAnsi="Times New Roman"/>
          <w:b/>
          <w:sz w:val="20"/>
        </w:rPr>
        <w:t>Option Shares</w:t>
      </w:r>
      <w:r>
        <w:rPr>
          <w:rFonts w:ascii="Times New Roman" w:hAnsi="Times New Roman"/>
          <w:sz w:val="20"/>
        </w:rPr>
        <w:t>.” The purchase price to be paid per Option Share shall be equal to the price per Firm Share set forth in Section 1.1.1 hereof. The Firm Shares and the Option Shares are hereinafter referred to together as the “</w:t>
      </w:r>
      <w:r>
        <w:rPr>
          <w:rFonts w:ascii="Times New Roman" w:hAnsi="Times New Roman"/>
          <w:b/>
          <w:sz w:val="20"/>
        </w:rPr>
        <w:t>Public Securities</w:t>
      </w:r>
      <w:r>
        <w:rPr>
          <w:rFonts w:ascii="Times New Roman" w:hAnsi="Times New Roman"/>
          <w:sz w:val="20"/>
        </w:rPr>
        <w:t>”. The offering and sale of the Public Securities is hereinafter referred to as the “</w:t>
      </w:r>
      <w:r>
        <w:rPr>
          <w:rFonts w:ascii="Times New Roman" w:hAnsi="Times New Roman"/>
          <w:b/>
          <w:sz w:val="20"/>
        </w:rPr>
        <w:t>Offering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1.2.2. </w:t>
      </w:r>
      <w:r>
        <w:rPr>
          <w:rFonts w:ascii="Times New Roman" w:hAnsi="Times New Roman"/>
          <w:sz w:val="20"/>
          <w:u w:val="single"/>
        </w:rPr>
        <w:t>Exercise of Option</w:t>
      </w:r>
      <w:r>
        <w:rPr>
          <w:rFonts w:ascii="Times New Roman" w:hAnsi="Times New Roman"/>
          <w:sz w:val="20"/>
        </w:rPr>
        <w:t>. The Over-allotment Option granted pursuant to Section 1.2.1 hereof may be exercised by the Representative as to all (at any time) or any part (from time to time) of the Option Shares within 45 days after the Effective Date. The Underwriters shall not be under any obligation to purchase any Option Shares prior to the exercise of the Over-allotment Option. The Over-allotment Option granted hereby may be exercised by the giving of oral notice to the Company from the Representative, which must be confirmed in writing by overnight mail or facsimile or other electronic transmission setting forth the number of Option Shares to be purchased and the date and time for delivery of and payment for the Option Shares (the “</w:t>
      </w:r>
      <w:r>
        <w:rPr>
          <w:rFonts w:ascii="Times New Roman" w:hAnsi="Times New Roman"/>
          <w:b/>
          <w:sz w:val="20"/>
        </w:rPr>
        <w:t>Option Closing Date</w:t>
      </w:r>
      <w:r>
        <w:rPr>
          <w:rFonts w:ascii="Times New Roman" w:hAnsi="Times New Roman"/>
          <w:sz w:val="20"/>
        </w:rPr>
        <w:t xml:space="preserve">”), which shall not be later than one (1) full Business Days after the date of the notice or such other time as shall be agreed upon by the Company and the Representative, at the offices of Representative Counsel or at such other place (including remotely by facsimile or other electronic transmission) as shall be agreed upon by the Company and the Representative. If such delivery and payment for the Option Shares does not occur on the Closing Date, the Option Closing Date will be as set forth in the notice. Upon exercise of the Over-allotment Option with respect to all or any portion of the Option Shares, subject to the terms and conditions set forth herein, (i) the Company shall become obligated to sell to the Underwriters the number of Option Shares specified in such notice and (ii) each of the Underwriters, acting severally and not jointly, shall purchase that portion of the total number of Option Shares then being purchased as set forth in </w:t>
      </w:r>
      <w:r>
        <w:rPr>
          <w:rFonts w:ascii="Times New Roman" w:hAnsi="Times New Roman"/>
          <w:sz w:val="20"/>
          <w:u w:val="single"/>
        </w:rPr>
        <w:t>Schedule 1</w:t>
      </w:r>
      <w:r>
        <w:rPr>
          <w:rFonts w:ascii="Times New Roman" w:hAnsi="Times New Roman"/>
          <w:sz w:val="20"/>
        </w:rPr>
        <w:t xml:space="preserve"> opposite the name of such Underwriter. </w:t>
      </w:r>
    </w:p>
    <w:p>
      <w:pPr>
        <w:pStyle w:val="TextBody"/>
        <w:bidi w:val="0"/>
        <w:spacing w:before="240" w:after="0"/>
        <w:jc w:val="left"/>
        <w:rPr>
          <w:rFonts w:ascii="Times New Roman" w:hAnsi="Times New Roman"/>
          <w:sz w:val="20"/>
        </w:rPr>
      </w:pPr>
      <w:r>
        <w:rPr>
          <w:rFonts w:ascii="Times New Roman" w:hAnsi="Times New Roman"/>
          <w:sz w:val="20"/>
        </w:rPr>
        <w:t xml:space="preserve">1.2.3. </w:t>
      </w:r>
      <w:r>
        <w:rPr>
          <w:rFonts w:ascii="Times New Roman" w:hAnsi="Times New Roman"/>
          <w:sz w:val="20"/>
          <w:u w:val="single"/>
        </w:rPr>
        <w:t>Payment and Delivery</w:t>
      </w:r>
      <w:r>
        <w:rPr>
          <w:rFonts w:ascii="Times New Roman" w:hAnsi="Times New Roman"/>
          <w:sz w:val="20"/>
        </w:rPr>
        <w:t>. Payment for the Option Shares shall be made on the Option Closing Date by wire transfer in Federal (same day) funds, payable to the order of the Company upon delivery to you of certificates (in form and substance satisfactory to the Underwriters) representing the Option Shares (or through the facilities of DTC) for the account of the Underwriters. The Option Shares shall be registered in such name or names and in such authorized denominations as the Representative may request in writing at least one (1) full Business Day prior to the Option Closing Date. The Company shall not be obligated to sell or deliver the Option Shares except upon tender of payment by the Representative for applicable Option Shares. The Option Closing Date may be simultaneous with, but not earlier than, the Closing Date, and in the event that such time and date are simultaneous with the Closing Date, the term “</w:t>
      </w:r>
      <w:r>
        <w:rPr>
          <w:rFonts w:ascii="Times New Roman" w:hAnsi="Times New Roman"/>
          <w:b/>
          <w:sz w:val="20"/>
        </w:rPr>
        <w:t>Closing Date</w:t>
      </w:r>
      <w:r>
        <w:rPr>
          <w:rFonts w:ascii="Times New Roman" w:hAnsi="Times New Roman"/>
          <w:sz w:val="20"/>
        </w:rPr>
        <w:t xml:space="preserve">” share refer to the time and date of delivery of the Firm Shares and the Option Shares.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i/>
          <w:sz w:val="20"/>
          <w:u w:val="single"/>
        </w:rPr>
        <w:t>Representative’s Warrants</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1.3.1. </w:t>
      </w:r>
      <w:r>
        <w:rPr>
          <w:rFonts w:ascii="Times New Roman" w:hAnsi="Times New Roman"/>
          <w:sz w:val="20"/>
          <w:u w:val="single"/>
        </w:rPr>
        <w:t>Purchase Warrants</w:t>
      </w:r>
      <w:r>
        <w:rPr>
          <w:rFonts w:ascii="Times New Roman" w:hAnsi="Times New Roman"/>
          <w:sz w:val="20"/>
        </w:rPr>
        <w:t>. The Company hereby agrees to issue and sell to the Representative (and/or its designees) on the Closing Date and Option Closing Date, a warrant (“</w:t>
      </w:r>
      <w:r>
        <w:rPr>
          <w:rFonts w:ascii="Times New Roman" w:hAnsi="Times New Roman"/>
          <w:b/>
          <w:sz w:val="20"/>
        </w:rPr>
        <w:t>Representative’s Warrant</w:t>
      </w:r>
      <w:r>
        <w:rPr>
          <w:rFonts w:ascii="Times New Roman" w:hAnsi="Times New Roman"/>
          <w:sz w:val="20"/>
        </w:rPr>
        <w:t xml:space="preserve">”) for the purchase of an aggregate number of shares of Common Stock representing 3% of the Public Securities. The Representative’s Warrant agreement, in the form attached hereto as </w:t>
      </w:r>
      <w:r>
        <w:rPr>
          <w:rFonts w:ascii="Times New Roman" w:hAnsi="Times New Roman"/>
          <w:sz w:val="20"/>
          <w:u w:val="single"/>
        </w:rPr>
        <w:t>Exhibit A</w:t>
      </w:r>
      <w:r>
        <w:rPr>
          <w:rFonts w:ascii="Times New Roman" w:hAnsi="Times New Roman"/>
          <w:sz w:val="20"/>
        </w:rPr>
        <w:t xml:space="preserve"> (the “</w:t>
      </w:r>
      <w:r>
        <w:rPr>
          <w:rFonts w:ascii="Times New Roman" w:hAnsi="Times New Roman"/>
          <w:b/>
          <w:sz w:val="20"/>
        </w:rPr>
        <w:t>Representative’s Warrant Agreement</w:t>
      </w:r>
      <w:r>
        <w:rPr>
          <w:rFonts w:ascii="Times New Roman" w:hAnsi="Times New Roman"/>
          <w:sz w:val="20"/>
        </w:rPr>
        <w:t xml:space="preserve">”), shall be exercisable, in whole or in part, commencing on the date which is one hundred eighty (180) days after the Effective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Date and expiring on the five-year anniversary of the Effective Date at an initial exercise price per share of Common Stock of $1.50, which is equal to 150% of the initial public offering price of the Firm Shares. The Representative’s Warrant Agreement and the shares of Common Stock issuable upon exercise thereof are hereinafter referred to together as the “</w:t>
      </w:r>
      <w:r>
        <w:rPr>
          <w:rFonts w:ascii="Times New Roman" w:hAnsi="Times New Roman"/>
          <w:b/>
          <w:sz w:val="20"/>
        </w:rPr>
        <w:t>Representative’s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1.3.2. </w:t>
      </w:r>
      <w:r>
        <w:rPr>
          <w:rFonts w:ascii="Times New Roman" w:hAnsi="Times New Roman"/>
          <w:sz w:val="20"/>
          <w:u w:val="single"/>
        </w:rPr>
        <w:t>Delivery</w:t>
      </w:r>
      <w:r>
        <w:rPr>
          <w:rFonts w:ascii="Times New Roman" w:hAnsi="Times New Roman"/>
          <w:sz w:val="20"/>
        </w:rPr>
        <w:t xml:space="preserve">. Delivery of the Representative’s Warrant shall be made on the Closing Date and shall be issued in the name or names and in such authorized denominations as the Representative may request.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Representations and Warranties of the Company</w:t>
      </w:r>
      <w:r>
        <w:rPr>
          <w:rFonts w:ascii="Times New Roman" w:hAnsi="Times New Roman"/>
          <w:sz w:val="20"/>
        </w:rPr>
        <w:t xml:space="preserve">. The Company represents and warrants to the Underwriters as of the Applicable Time (as defined below), as of the Closing Date and as of the Option Closing Date, if any, as follows: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i/>
          <w:sz w:val="20"/>
          <w:u w:val="single"/>
        </w:rPr>
        <w:t>Filing of Registration Statement</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2.1.1. </w:t>
      </w:r>
      <w:r>
        <w:rPr>
          <w:rFonts w:ascii="Times New Roman" w:hAnsi="Times New Roman"/>
          <w:sz w:val="20"/>
          <w:u w:val="single"/>
        </w:rPr>
        <w:t>Pursuant to the Securities Act</w:t>
      </w:r>
      <w:r>
        <w:rPr>
          <w:rFonts w:ascii="Times New Roman" w:hAnsi="Times New Roman"/>
          <w:sz w:val="20"/>
        </w:rPr>
        <w:t>. The Company has filed with the U.S. Securities and Exchange Commission (the “</w:t>
      </w:r>
      <w:r>
        <w:rPr>
          <w:rFonts w:ascii="Times New Roman" w:hAnsi="Times New Roman"/>
          <w:b/>
          <w:sz w:val="20"/>
        </w:rPr>
        <w:t>Commission</w:t>
      </w:r>
      <w:r>
        <w:rPr>
          <w:rFonts w:ascii="Times New Roman" w:hAnsi="Times New Roman"/>
          <w:sz w:val="20"/>
        </w:rPr>
        <w:t>”) a registration statement, and amendments thereto, on Form S-1 (File No. 333-295390), including any related prospectus or prospectuses, for the registration of the Public Securities and the Representative’s Securities under the Securities Act of 1933, as amended (the “</w:t>
      </w:r>
      <w:r>
        <w:rPr>
          <w:rFonts w:ascii="Times New Roman" w:hAnsi="Times New Roman"/>
          <w:b/>
          <w:sz w:val="20"/>
        </w:rPr>
        <w:t>Securities Act</w:t>
      </w:r>
      <w:r>
        <w:rPr>
          <w:rFonts w:ascii="Times New Roman" w:hAnsi="Times New Roman"/>
          <w:sz w:val="20"/>
        </w:rPr>
        <w:t>”). Except as the context may otherwise require, such registration statement, as amended, on file with the Commission at the time the registration statement became effective (including the Preliminary Prospectus included in the registration statement, financial statements, schedules, exhibits and all other documents filed as a part thereof or incorporated therein and all information deemed to be a part thereof as of the Effective Date pursuant to paragraph (b) of Rule 430A (the “</w:t>
      </w:r>
      <w:r>
        <w:rPr>
          <w:rFonts w:ascii="Times New Roman" w:hAnsi="Times New Roman"/>
          <w:b/>
          <w:sz w:val="20"/>
        </w:rPr>
        <w:t>Rule 430A Information</w:t>
      </w:r>
      <w:r>
        <w:rPr>
          <w:rFonts w:ascii="Times New Roman" w:hAnsi="Times New Roman"/>
          <w:sz w:val="20"/>
        </w:rPr>
        <w:t>”) of the Securities Act Regulations), is referred to herein as the “</w:t>
      </w:r>
      <w:r>
        <w:rPr>
          <w:rFonts w:ascii="Times New Roman" w:hAnsi="Times New Roman"/>
          <w:b/>
          <w:sz w:val="20"/>
        </w:rPr>
        <w:t>Registration Statement</w:t>
      </w:r>
      <w:r>
        <w:rPr>
          <w:rFonts w:ascii="Times New Roman" w:hAnsi="Times New Roman"/>
          <w:sz w:val="20"/>
        </w:rPr>
        <w:t>.” If the Company files any registration statement pursuant to Rule 462(b) of the Securities Act Regulations, then after such filing, the term “</w:t>
      </w:r>
      <w:r>
        <w:rPr>
          <w:rFonts w:ascii="Times New Roman" w:hAnsi="Times New Roman"/>
          <w:b/>
          <w:sz w:val="20"/>
        </w:rPr>
        <w:t>Registration Statement</w:t>
      </w:r>
      <w:r>
        <w:rPr>
          <w:rFonts w:ascii="Times New Roman" w:hAnsi="Times New Roman"/>
          <w:sz w:val="20"/>
        </w:rPr>
        <w:t xml:space="preserve">” shall include such registration statement filed pursuant to Rule 462(b). The Registration Statement has been declared effective by the Commission on the date hereof. </w:t>
      </w:r>
    </w:p>
    <w:p>
      <w:pPr>
        <w:pStyle w:val="TextBody"/>
        <w:bidi w:val="0"/>
        <w:spacing w:before="240" w:after="0"/>
        <w:jc w:val="left"/>
        <w:rPr>
          <w:rFonts w:ascii="Times New Roman" w:hAnsi="Times New Roman"/>
          <w:sz w:val="20"/>
        </w:rPr>
      </w:pPr>
      <w:r>
        <w:rPr>
          <w:rFonts w:ascii="Times New Roman" w:hAnsi="Times New Roman"/>
          <w:sz w:val="20"/>
        </w:rPr>
        <w:t>Each prospectus used prior to the effectiveness of the Registration Statement, and each prospectus that omitted the Rule 430A Information that was used after such effectiveness and prior to the execution and delivery of this Agreement, is herein called a “</w:t>
      </w:r>
      <w:r>
        <w:rPr>
          <w:rFonts w:ascii="Times New Roman" w:hAnsi="Times New Roman"/>
          <w:b/>
          <w:sz w:val="20"/>
        </w:rPr>
        <w:t>Preliminary Prospectus</w:t>
      </w:r>
      <w:r>
        <w:rPr>
          <w:rFonts w:ascii="Times New Roman" w:hAnsi="Times New Roman"/>
          <w:sz w:val="20"/>
        </w:rPr>
        <w:t>.” The Preliminary Prospectus, subject to completion, dated April 28, 2026, that was included in the Registration Statement immediately prior to the Applicable Time is hereinafter called the “</w:t>
      </w:r>
      <w:r>
        <w:rPr>
          <w:rFonts w:ascii="Times New Roman" w:hAnsi="Times New Roman"/>
          <w:b/>
          <w:sz w:val="20"/>
        </w:rPr>
        <w:t>Pricing Prospectus</w:t>
      </w:r>
      <w:r>
        <w:rPr>
          <w:rFonts w:ascii="Times New Roman" w:hAnsi="Times New Roman"/>
          <w:sz w:val="20"/>
        </w:rPr>
        <w:t>.” The final prospectus in the form first furnished to the Underwriters for use in the Offering, that includes the Rule 430A Information is hereinafter called the “</w:t>
      </w:r>
      <w:r>
        <w:rPr>
          <w:rFonts w:ascii="Times New Roman" w:hAnsi="Times New Roman"/>
          <w:b/>
          <w:sz w:val="20"/>
        </w:rPr>
        <w:t>Prospectus</w:t>
      </w:r>
      <w:r>
        <w:rPr>
          <w:rFonts w:ascii="Times New Roman" w:hAnsi="Times New Roman"/>
          <w:sz w:val="20"/>
        </w:rPr>
        <w:t>.” Any reference to the “</w:t>
      </w:r>
      <w:r>
        <w:rPr>
          <w:rFonts w:ascii="Times New Roman" w:hAnsi="Times New Roman"/>
          <w:b/>
          <w:sz w:val="20"/>
        </w:rPr>
        <w:t>most recent Preliminary Prospectus</w:t>
      </w:r>
      <w:r>
        <w:rPr>
          <w:rFonts w:ascii="Times New Roman" w:hAnsi="Times New Roman"/>
          <w:sz w:val="20"/>
        </w:rPr>
        <w:t xml:space="preserve">” shall be deemed to refer to the latest Preliminary Prospectus included in the Registration Statement. </w:t>
      </w:r>
    </w:p>
    <w:p>
      <w:pPr>
        <w:pStyle w:val="TextBody"/>
        <w:bidi w:val="0"/>
        <w:spacing w:before="240" w:after="0"/>
        <w:jc w:val="left"/>
        <w:rPr/>
      </w:pPr>
      <w:r>
        <w:rPr/>
        <w:t>“</w:t>
      </w:r>
      <w:r>
        <w:rPr>
          <w:rFonts w:ascii="Times New Roman" w:hAnsi="Times New Roman"/>
          <w:b/>
          <w:sz w:val="20"/>
        </w:rPr>
        <w:t>Applicable Time</w:t>
      </w:r>
      <w:r>
        <w:rPr>
          <w:rFonts w:ascii="Times New Roman" w:hAnsi="Times New Roman"/>
          <w:sz w:val="20"/>
        </w:rPr>
        <w:t xml:space="preserve">” means 5:30 p.m., Eastern time, on the date of this Agreement. </w:t>
      </w:r>
    </w:p>
    <w:p>
      <w:pPr>
        <w:pStyle w:val="TextBody"/>
        <w:bidi w:val="0"/>
        <w:spacing w:before="240" w:after="0"/>
        <w:jc w:val="left"/>
        <w:rPr/>
      </w:pPr>
      <w:r>
        <w:rPr/>
        <w:t>“</w:t>
      </w:r>
      <w:r>
        <w:rPr>
          <w:rFonts w:ascii="Times New Roman" w:hAnsi="Times New Roman"/>
          <w:b/>
          <w:sz w:val="20"/>
        </w:rPr>
        <w:t>Issuer Free Writing Prospectus</w:t>
      </w:r>
      <w:r>
        <w:rPr>
          <w:rFonts w:ascii="Times New Roman" w:hAnsi="Times New Roman"/>
          <w:sz w:val="20"/>
        </w:rPr>
        <w:t xml:space="preserve">” means any “issuer free writing prospectus,” as defined in Rule 433 of the Securities Act Regulations (“Rule 433”), including without limitation any “free writing prospectus” (as defined in Rule 405 of the Securities Act Regulations) relating to the Public Securities that is (i) required to be filed with the Commission by the Company, (ii) a “road show that is a written communication” within the meaning of Rule 433(d)(8)(i), whether or not required to be filed with the Commission, or (iii) exempt from filing with the Commission pursuant to Rule 433(d)(5)(i) because it contains a description of the Public Securities or of the Offering that does not reflect the final terms, in each case in the form filed or required to be filed with the Commission or, if not required to be filed, in the form retained in the Company’s records pursuant to Rule 433(g). </w:t>
      </w:r>
    </w:p>
    <w:p>
      <w:pPr>
        <w:pStyle w:val="TextBody"/>
        <w:bidi w:val="0"/>
        <w:spacing w:before="240" w:after="0"/>
        <w:jc w:val="left"/>
        <w:rPr/>
      </w:pPr>
      <w:r>
        <w:rPr/>
        <w:t>“</w:t>
      </w:r>
      <w:r>
        <w:rPr>
          <w:rFonts w:ascii="Times New Roman" w:hAnsi="Times New Roman"/>
          <w:b/>
          <w:sz w:val="20"/>
        </w:rPr>
        <w:t>Issuer General Use Free Writing Prospectus</w:t>
      </w:r>
      <w:r>
        <w:rPr>
          <w:rFonts w:ascii="Times New Roman" w:hAnsi="Times New Roman"/>
          <w:sz w:val="20"/>
        </w:rPr>
        <w:t>” means any Issuer Free Writing Prospectus that is intended for general distribution to prospective investors (other than a “</w:t>
      </w:r>
      <w:r>
        <w:rPr>
          <w:rFonts w:ascii="Times New Roman" w:hAnsi="Times New Roman"/>
          <w:i/>
          <w:sz w:val="20"/>
        </w:rPr>
        <w:t>bona fide</w:t>
      </w:r>
      <w:r>
        <w:rPr>
          <w:rFonts w:ascii="Times New Roman" w:hAnsi="Times New Roman"/>
          <w:sz w:val="20"/>
        </w:rPr>
        <w:t xml:space="preserve"> electronic road show,” as defined in Rule 433 (the “Bona Fide Electronic Road Show”)), as evidenced by its being specified in </w:t>
      </w:r>
      <w:r>
        <w:rPr>
          <w:rFonts w:ascii="Times New Roman" w:hAnsi="Times New Roman"/>
          <w:sz w:val="20"/>
          <w:u w:val="single"/>
        </w:rPr>
        <w:t>Schedule 2-B</w:t>
      </w:r>
      <w:r>
        <w:rPr>
          <w:rFonts w:ascii="Times New Roman" w:hAnsi="Times New Roman"/>
          <w:sz w:val="20"/>
        </w:rPr>
        <w:t xml:space="preserve"> hereto. </w:t>
      </w:r>
    </w:p>
    <w:p>
      <w:pPr>
        <w:pStyle w:val="TextBody"/>
        <w:bidi w:val="0"/>
        <w:spacing w:before="240" w:after="0"/>
        <w:jc w:val="left"/>
        <w:rPr/>
      </w:pPr>
      <w:r>
        <w:rPr/>
        <w:t>“</w:t>
      </w:r>
      <w:r>
        <w:rPr>
          <w:rFonts w:ascii="Times New Roman" w:hAnsi="Times New Roman"/>
          <w:b/>
          <w:sz w:val="20"/>
        </w:rPr>
        <w:t>Issuer Limited Use Free Writing Prospectus</w:t>
      </w:r>
      <w:r>
        <w:rPr>
          <w:rFonts w:ascii="Times New Roman" w:hAnsi="Times New Roman"/>
          <w:sz w:val="20"/>
        </w:rPr>
        <w:t xml:space="preserve">” means any Issuer Free Writing Prospectus that is not an Issuer General Use Free Writing Prospectus. </w:t>
      </w:r>
    </w:p>
    <w:p>
      <w:pPr>
        <w:pStyle w:val="TextBody"/>
        <w:bidi w:val="0"/>
        <w:spacing w:before="240" w:after="0"/>
        <w:jc w:val="left"/>
        <w:rPr/>
      </w:pPr>
      <w:r>
        <w:rPr/>
        <w:t>“</w:t>
      </w:r>
      <w:r>
        <w:rPr>
          <w:rFonts w:ascii="Times New Roman" w:hAnsi="Times New Roman"/>
          <w:b/>
          <w:sz w:val="20"/>
        </w:rPr>
        <w:t>Pricing Disclosure Package</w:t>
      </w:r>
      <w:r>
        <w:rPr>
          <w:rFonts w:ascii="Times New Roman" w:hAnsi="Times New Roman"/>
          <w:sz w:val="20"/>
        </w:rPr>
        <w:t xml:space="preserve">” means any Issuer General Use Free Writing Prospectus issued at or prior to the Applicable Time, the Pricing Prospectus and the information included on </w:t>
      </w:r>
      <w:r>
        <w:rPr>
          <w:rFonts w:ascii="Times New Roman" w:hAnsi="Times New Roman"/>
          <w:sz w:val="20"/>
          <w:u w:val="single"/>
        </w:rPr>
        <w:t>Schedule 2-A</w:t>
      </w:r>
      <w:r>
        <w:rPr>
          <w:rFonts w:ascii="Times New Roman" w:hAnsi="Times New Roman"/>
          <w:sz w:val="20"/>
        </w:rPr>
        <w:t xml:space="preserve"> hereto, all considered together.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2.1.2. </w:t>
      </w:r>
      <w:r>
        <w:rPr>
          <w:rFonts w:ascii="Times New Roman" w:hAnsi="Times New Roman"/>
          <w:sz w:val="20"/>
          <w:u w:val="single"/>
        </w:rPr>
        <w:t>Pursuant to the Exchange Act</w:t>
      </w:r>
      <w:r>
        <w:rPr>
          <w:rFonts w:ascii="Times New Roman" w:hAnsi="Times New Roman"/>
          <w:sz w:val="20"/>
        </w:rPr>
        <w:t>. The registration of the Common Stock pursuant to Section 12(b) under the Securities Exchange Act of 1934, as amended (the “</w:t>
      </w:r>
      <w:r>
        <w:rPr>
          <w:rFonts w:ascii="Times New Roman" w:hAnsi="Times New Roman"/>
          <w:b/>
          <w:sz w:val="20"/>
        </w:rPr>
        <w:t>Exchange Act</w:t>
      </w:r>
      <w:r>
        <w:rPr>
          <w:rFonts w:ascii="Times New Roman" w:hAnsi="Times New Roman"/>
          <w:sz w:val="20"/>
        </w:rPr>
        <w:t xml:space="preserve">”) is effective. The Company has taken no action designed to, or likely to have the effect of, terminating the registration of the Common Stock under the Exchange Act, nor has the Company received any notification that the Commission is contemplating terminating such registration.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Stock Exchange Listing</w:t>
      </w:r>
      <w:r>
        <w:rPr>
          <w:rFonts w:ascii="Times New Roman" w:hAnsi="Times New Roman"/>
          <w:sz w:val="20"/>
        </w:rPr>
        <w:t>. The shares of Common Stock have been approved for listing on the Nasdaq Capital Market (the “</w:t>
      </w:r>
      <w:r>
        <w:rPr>
          <w:rFonts w:ascii="Times New Roman" w:hAnsi="Times New Roman"/>
          <w:b/>
          <w:sz w:val="20"/>
        </w:rPr>
        <w:t>Exchange</w:t>
      </w:r>
      <w:r>
        <w:rPr>
          <w:rFonts w:ascii="Times New Roman" w:hAnsi="Times New Roman"/>
          <w:sz w:val="20"/>
        </w:rPr>
        <w:t xml:space="preserve">”), and the Company has taken no action designed to, or likely to have the effect of, delisting the shares of Common Stock from the Exchange, nor has the Company received any notification that the Exchange is contemplating terminating such listing except as described in the Registration Statement, the Pricing Disclosure Package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No Stop Orders, etc</w:t>
      </w:r>
      <w:r>
        <w:rPr>
          <w:rFonts w:ascii="Times New Roman" w:hAnsi="Times New Roman"/>
          <w:sz w:val="20"/>
        </w:rPr>
        <w:t xml:space="preserve">. Neither the Commission nor, to the Company’s knowledge, any state regulatory authority has issued any order preventing or suspending the use of the Registration Statement, any Preliminary Prospectus or the Prospectus or has instituted or, to the Company’s knowledge, threatened to institute, any proceedings with respect to such an order. The Company has complied with each request (if any) from the Commission for 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Disclosures in Registration Statement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2.4.1. </w:t>
      </w:r>
      <w:r>
        <w:rPr>
          <w:rFonts w:ascii="Times New Roman" w:hAnsi="Times New Roman"/>
          <w:sz w:val="20"/>
          <w:u w:val="single"/>
        </w:rPr>
        <w:t>Compliance with Securities Act and 10b-5 Representation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Each of the Registration Statement and any post-effective amendment thereto, at the time it became effective, complied in all material respects with the requirements of the Securities Act and the Securities Act Regulations. Each Preliminary Prospectus, including the prospectus filed as part of the Registration Statement as originally filed or as part of any amendment or supplement thereto, and the Prospectus, at the time each was filed with the Commission, complied in all material respects with the requirements of the Securities Act and the Securities Act Regulations. Each Preliminary Prospectus delivered to the Underwriters for use in connection with this Offering and the Prospectus was or will be identical to the electronically transmitted copies thereof filed with the Commission pursuant to EDGAR, except to the extent permitted by Regulation S-T. </w:t>
      </w:r>
    </w:p>
    <w:p>
      <w:pPr>
        <w:pStyle w:val="TextBody"/>
        <w:bidi w:val="0"/>
        <w:spacing w:before="240" w:after="0"/>
        <w:jc w:val="left"/>
        <w:rPr>
          <w:rFonts w:ascii="Times New Roman" w:hAnsi="Times New Roman"/>
          <w:sz w:val="20"/>
        </w:rPr>
      </w:pPr>
      <w:r>
        <w:rPr>
          <w:rFonts w:ascii="Times New Roman" w:hAnsi="Times New Roman"/>
          <w:sz w:val="20"/>
        </w:rPr>
        <w:t xml:space="preserve">(ii) Neither the Registration Statement nor any amendment thereto, at its effective time, as of the Applicable Time, at the Closing Date or at any Option Closing Date (if any), contained, contains or will contain an untrue statement of a material fact or omitted, omits or will omit to state a material fact required to be stated therein or necessary to make the statements therein not misleading. </w:t>
      </w:r>
    </w:p>
    <w:p>
      <w:pPr>
        <w:pStyle w:val="TextBody"/>
        <w:bidi w:val="0"/>
        <w:spacing w:before="240" w:after="0"/>
        <w:jc w:val="left"/>
        <w:rPr>
          <w:rFonts w:ascii="Times New Roman" w:hAnsi="Times New Roman"/>
          <w:sz w:val="20"/>
        </w:rPr>
      </w:pPr>
      <w:r>
        <w:rPr>
          <w:rFonts w:ascii="Times New Roman" w:hAnsi="Times New Roman"/>
          <w:sz w:val="20"/>
        </w:rPr>
        <w:t>(iii) The Pricing Disclosure Package, as of the Applicable Time, at the Closing Date or at any Option Closing Date (if any), did not, does not and will not include an untrue statement of a material fact or omit to state a material fact necessary in order to make the statements therein, in the light of the circumstances under which they were made, not misleading; and each Issuer Limited Use Free Writing Prospectus hereto does not conflict with the information contained in the Registration Statement, any Preliminary Prospectus, the Pricing Prospectus or the Prospectus, and each such Issuer Limited Use Free Writing Prospectus, as supplemented by and taken together with the Pricing Prospectus as of the Applicable Time, did not include an untrue statement of a material fact or omit to state a material fact necessary in order to make the statements therein, in light of the circumstances under which they were made, not misleading; provided, however, that this representation and warranty shall not apply to statements made or statements omitted in reliance upon and in conformity with written information furnished to the Company with respect to the Underwriters by the Representative expressly for use in the Registration Statement, the Pricing Prospectus or the Prospectus or any amendment thereof or supplement thereto. The parties acknowledge and agree that such information provided by or on behalf of any Underwriter consists solely of the following disclosure contained in the “Underwriting” section of the Prospectus: the names of the Underwriters, the information contained under the subheadings titled “Discounts and Commissions”, “Stabilization”, “Passive Market Making”, “Discretionary Accounts,” “Offering Restrictions Outside the United States”, and “Electronic Distribution” (the “</w:t>
      </w:r>
      <w:r>
        <w:rPr>
          <w:rFonts w:ascii="Times New Roman" w:hAnsi="Times New Roman"/>
          <w:b/>
          <w:sz w:val="20"/>
        </w:rPr>
        <w:t>Underwriters’ Information</w:t>
      </w:r>
      <w:r>
        <w:rPr>
          <w:rFonts w:ascii="Times New Roman" w:hAnsi="Times New Roman"/>
          <w:sz w:val="20"/>
        </w:rPr>
        <w:t xml:space="preserve">”). Neither the Prospectus nor any amendment or supplement thereto (including any prospectus wrapper), as of its issue date, at the time of any filing with the Commission pursuant to Rule 424(b), at the Closing Date or at any Option Closing Date, included, includes or will include an untrue statement of a material fact or omitted, omits or will omit to state a material fact necessary in order to make the statements therein, in the light of the circumstances under which they were made, not misleading; provided, however, that this representation and warranty shall not apply to the Underwriters’ Information.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2.4.2. </w:t>
      </w:r>
      <w:r>
        <w:rPr>
          <w:rFonts w:ascii="Times New Roman" w:hAnsi="Times New Roman"/>
          <w:sz w:val="20"/>
          <w:u w:val="single"/>
        </w:rPr>
        <w:t>Disclosure of Agreements</w:t>
      </w:r>
      <w:r>
        <w:rPr>
          <w:rFonts w:ascii="Times New Roman" w:hAnsi="Times New Roman"/>
          <w:sz w:val="20"/>
        </w:rPr>
        <w:t>. The agreements and documents described in the Registration Statement, the Pricing Disclosure Package and the Prospectus conform in all material respects to the descriptions thereof contained therein and there are no agreements or other documents required by the Securities Act and the Securities Act Regulations to be described in the Registration Statement, the Pricing Disclosure Package and the Prospectus or to be filed with the Commission as exhibits to the Registration Statement, that have not been so described or filed. Each agreement or other instrument (however characterized or described) to which the Company is a party or by which it is or may be bound or affected and (i) that is referred to in the Registration Statement, the Pricing Disclosure Package and the Prospectus, or (ii) is material to the Company’s business, has been duly authorized and validly executed by the Company, is in full force and effect in all material respects and is enforceable against the Company and, to the Company’s knowledge, the other parties thereto, in accordance with its terms, except (x) as such enforceability may be limited by bankruptcy, insolvency, reorganization or similar laws affecting creditors’ rights generally, (y) as enforceability of any indemnification or contribution provision may be limited under the federal and state securities laws, and (z) that the remedy of specific performance and injunctive and other forms of equitable relief may be subject to the equitable defenses and to the discretion of the court before which any proceeding therefor may be brought. None of such agreements or instruments has been assigned by the Company, and neither the Company nor, to the Company’s knowledge, any other party is in default thereunder and, to the Company’s knowledge, no event has occurred that, with the lapse of time or the giving of notice, or both, would constitute a default thereunder. To the Company’s knowledge, performance by the Company of the material provisions of such agreements or instruments will not result in a violation of any existing applicable law, rule, regulation, judgment, order or decree of any governmental agency or court, domestic or foreign, having jurisdiction over the Company or any of its assets or businesses (each, a “</w:t>
      </w:r>
      <w:r>
        <w:rPr>
          <w:rFonts w:ascii="Times New Roman" w:hAnsi="Times New Roman"/>
          <w:b/>
          <w:sz w:val="20"/>
        </w:rPr>
        <w:t>Governmental Entity</w:t>
      </w:r>
      <w:r>
        <w:rPr>
          <w:rFonts w:ascii="Times New Roman" w:hAnsi="Times New Roman"/>
          <w:sz w:val="20"/>
        </w:rPr>
        <w:t xml:space="preserve">”), including, without limitation, those relating to environmental laws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2.4.3. </w:t>
      </w:r>
      <w:r>
        <w:rPr>
          <w:rFonts w:ascii="Times New Roman" w:hAnsi="Times New Roman"/>
          <w:sz w:val="20"/>
          <w:u w:val="single"/>
        </w:rPr>
        <w:t>Regulations</w:t>
      </w:r>
      <w:r>
        <w:rPr>
          <w:rFonts w:ascii="Times New Roman" w:hAnsi="Times New Roman"/>
          <w:sz w:val="20"/>
        </w:rPr>
        <w:t xml:space="preserve">. The disclosures in the Registration Statement, the Pricing Disclosure Package and the Prospectus concerning the effects of federal, state, local and all foreign regulation on the Offering and the Company’s business as currently contemplated are correct in all material respects and no other such regulations are required to be disclosed in the Registration Statement, the Pricing Disclosure Package and the Prospectus which are not so disclosed. </w:t>
      </w:r>
    </w:p>
    <w:p>
      <w:pPr>
        <w:pStyle w:val="TextBody"/>
        <w:bidi w:val="0"/>
        <w:spacing w:before="240" w:after="0"/>
        <w:jc w:val="left"/>
        <w:rPr>
          <w:rFonts w:ascii="Times New Roman" w:hAnsi="Times New Roman"/>
          <w:sz w:val="20"/>
        </w:rPr>
      </w:pPr>
      <w:r>
        <w:rPr>
          <w:rFonts w:ascii="Times New Roman" w:hAnsi="Times New Roman"/>
          <w:sz w:val="20"/>
        </w:rPr>
        <w:t>2.4.4. </w:t>
      </w:r>
      <w:r>
        <w:rPr>
          <w:rFonts w:ascii="Times New Roman" w:hAnsi="Times New Roman"/>
          <w:sz w:val="20"/>
          <w:u w:val="single"/>
        </w:rPr>
        <w:t>No Other Distribution of Offering Materials</w:t>
      </w:r>
      <w:r>
        <w:rPr>
          <w:rFonts w:ascii="Times New Roman" w:hAnsi="Times New Roman"/>
          <w:sz w:val="20"/>
        </w:rPr>
        <w:t xml:space="preserve">. The Company has not, directly or indirectly, distributed and will not distribute any offering material in connection with the Offering other than any Preliminary Prospectus, any Issuer Free Writing Prospectus, the Prospectus and other materials, if any, permitted under the Securities Act and consistent with Section 3.2 below. </w:t>
      </w:r>
    </w:p>
    <w:p>
      <w:pPr>
        <w:pStyle w:val="TextBody"/>
        <w:bidi w:val="0"/>
        <w:spacing w:before="240" w:after="0"/>
        <w:jc w:val="left"/>
        <w:rPr>
          <w:rFonts w:ascii="Times New Roman" w:hAnsi="Times New Roman"/>
          <w:sz w:val="20"/>
        </w:rPr>
      </w:pPr>
      <w:r>
        <w:rPr>
          <w:rFonts w:ascii="Times New Roman" w:hAnsi="Times New Roman"/>
          <w:sz w:val="20"/>
        </w:rPr>
        <w:t xml:space="preserve">2.5 </w:t>
      </w:r>
      <w:r>
        <w:rPr>
          <w:rFonts w:ascii="Times New Roman" w:hAnsi="Times New Roman"/>
          <w:sz w:val="20"/>
          <w:u w:val="single"/>
        </w:rPr>
        <w:t>Changes After Dates in Registration Statement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2.5.1. </w:t>
      </w:r>
      <w:r>
        <w:rPr>
          <w:rFonts w:ascii="Times New Roman" w:hAnsi="Times New Roman"/>
          <w:sz w:val="20"/>
          <w:u w:val="single"/>
        </w:rPr>
        <w:t>No Material Adverse Change</w:t>
      </w:r>
      <w:r>
        <w:rPr>
          <w:rFonts w:ascii="Times New Roman" w:hAnsi="Times New Roman"/>
          <w:sz w:val="20"/>
        </w:rPr>
        <w:t>. Since the respective dates as of which information is given in the Registration Statement, the Pricing Disclosure Package and the Prospectus, except as otherwise specifically stated therein: (i) there has been no material adverse change in the financial position or results of operations of the Company or its Subsidiaries taken as a whole nor any change or development that, singularly or in the aggregate, would involve a material adverse change or a prospective material adverse change, in or affecting the condition (financial or otherwise), results of operations, business or assets of the Company (a “</w:t>
      </w:r>
      <w:r>
        <w:rPr>
          <w:rFonts w:ascii="Times New Roman" w:hAnsi="Times New Roman"/>
          <w:b/>
          <w:sz w:val="20"/>
        </w:rPr>
        <w:t>Material Adverse Change</w:t>
      </w:r>
      <w:r>
        <w:rPr>
          <w:rFonts w:ascii="Times New Roman" w:hAnsi="Times New Roman"/>
          <w:sz w:val="20"/>
        </w:rPr>
        <w:t xml:space="preserve">”); (ii) there have been no material transactions entered into by the Company, other than as contemplated pursuant to this Agreement; and (iii) no officer or director of the Company has resigned from any position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2.5.2. </w:t>
      </w:r>
      <w:r>
        <w:rPr>
          <w:rFonts w:ascii="Times New Roman" w:hAnsi="Times New Roman"/>
          <w:sz w:val="20"/>
          <w:u w:val="single"/>
        </w:rPr>
        <w:t>Recent Securities Transactions, etc</w:t>
      </w:r>
      <w:r>
        <w:rPr>
          <w:rFonts w:ascii="Times New Roman" w:hAnsi="Times New Roman"/>
          <w:sz w:val="20"/>
        </w:rPr>
        <w:t xml:space="preserve">. Subsequent to the respective dates as of which information is given in the Registration Statement, the Pricing Disclosure Package and the Prospectus, and except as may otherwise be indicated or contemplated herein or disclosed in the Registration Statement, the Pricing Disclosure Package and the Prospectus, the Company has not: (i) issued any securities or incurred any liability or obligation, direct or contingent, for borrowed money, except in the ordinary course of business; or (ii) declared or paid any dividend or made any other distribution on or in respect to its capital stock.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2.6 </w:t>
      </w:r>
      <w:r>
        <w:rPr>
          <w:rFonts w:ascii="Times New Roman" w:hAnsi="Times New Roman"/>
          <w:sz w:val="20"/>
          <w:u w:val="single"/>
        </w:rPr>
        <w:t>Independent Accountants</w:t>
      </w:r>
      <w:r>
        <w:rPr>
          <w:rFonts w:ascii="Times New Roman" w:hAnsi="Times New Roman"/>
          <w:sz w:val="20"/>
        </w:rPr>
        <w:t>. To the knowledge of the Company, Marcum LLP and CBIZ CPAs PC (the “</w:t>
      </w:r>
      <w:r>
        <w:rPr>
          <w:rFonts w:ascii="Times New Roman" w:hAnsi="Times New Roman"/>
          <w:b/>
          <w:sz w:val="20"/>
        </w:rPr>
        <w:t>Auditors</w:t>
      </w:r>
      <w:r>
        <w:rPr>
          <w:rFonts w:ascii="Times New Roman" w:hAnsi="Times New Roman"/>
          <w:sz w:val="20"/>
        </w:rPr>
        <w:t xml:space="preserve">”), whose reports are filed with the Commission as part of the Registration Statement, the Pricing Disclosure Package and the Prospectus, are independent registered public accounting firms as required by the Securities Act and the Securities Act Regulations and the Public Company Accounting Oversight Board. The Auditors have not, during the periods covered by the financial statements included in the Registration Statement, the Pricing Disclosure Package and the Prospectus, provided to the Company any non-audit services, as such term is used in Section 10A(g)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2.7 </w:t>
      </w:r>
      <w:r>
        <w:rPr>
          <w:rFonts w:ascii="Times New Roman" w:hAnsi="Times New Roman"/>
          <w:sz w:val="20"/>
          <w:u w:val="single"/>
        </w:rPr>
        <w:t>Financial Statements, etc</w:t>
      </w:r>
      <w:r>
        <w:rPr>
          <w:rFonts w:ascii="Times New Roman" w:hAnsi="Times New Roman"/>
          <w:sz w:val="20"/>
        </w:rPr>
        <w:t>. The financial statements, including the notes thereto and supporting schedules included in the Registration Statement, the Pricing Disclosure Package and the Prospectus, fairly present the financial position and the results of operations of the Company at the dates and for the periods to which they apply; and such financial statements have been prepared in conformity with U.S. generally accepted accounting principles (“</w:t>
      </w:r>
      <w:r>
        <w:rPr>
          <w:rFonts w:ascii="Times New Roman" w:hAnsi="Times New Roman"/>
          <w:b/>
          <w:sz w:val="20"/>
        </w:rPr>
        <w:t>GAAP</w:t>
      </w:r>
      <w:r>
        <w:rPr>
          <w:rFonts w:ascii="Times New Roman" w:hAnsi="Times New Roman"/>
          <w:sz w:val="20"/>
        </w:rPr>
        <w:t>”), consistently applied throughout the periods involved (provided that unaudited interim financial statements are subject to year-end audit adjustments that are not expected to be material in the aggregate and do not contain all footnotes required by GAAP); and the supporting schedules included in the Registration Statement present fairly the information required to be stated therein. Except as included therein, no historical or pro forma financial statements are required to be included in the Registration Statement, the Pricing Disclosure Package or the Prospectus under the Securities Act or the Securities Act Regulations. The pro forma and pro forma as adjusted financial information and the related notes, if any, included in the Registration Statement, the Pricing Disclosure Package and the Prospectus have been properly compiled and prepared in accordance with the applicable requirements of the Securities Act and the Securities Act Regulations and present fairly the information shown therein, and the assumptions used in the preparation thereof are reasonable and the adjustments used therein are appropriate to give effect to the transactions and circumstances referred to therein. All disclosures contained in the Registration Statement, the Pricing Disclosure Package or the Prospectus regarding “</w:t>
      </w:r>
      <w:r>
        <w:rPr>
          <w:rFonts w:ascii="Times New Roman" w:hAnsi="Times New Roman"/>
          <w:b/>
          <w:sz w:val="20"/>
        </w:rPr>
        <w:t>non-GAAP financial measures</w:t>
      </w:r>
      <w:r>
        <w:rPr>
          <w:rFonts w:ascii="Times New Roman" w:hAnsi="Times New Roman"/>
          <w:sz w:val="20"/>
        </w:rPr>
        <w:t>” (as such term is defined by the rules and regulations of the Commission), if any, comply with Regulation G of the Exchange Act and Item 10 of Regulation S-K of the Securities Act, to the extent applicable. Each of the Registration Statement, the Pricing Disclosure Package and the Prospectus discloses all material off-balance sheet transactions, arrangements, obligations (including contingent obligations), and other relationships of the Company with unconsolidated entities or other persons that may have a material current or future effect on the Company’s financial condition, changes in financial condition, results of operations, liquidity, capital expenditures, capital resources, or significant components of revenues or expenses. Except as disclosed in the Registration Statement, the Pricing Disclosure Package and the Prospectus, (a) neither the Company nor any of its direct and indirect subsidiaries, including each entity disclosed or described in the Registration Statement, the Pricing Disclosure Package and the Prospectus as being a subsidiary of the Company (each, a “</w:t>
      </w:r>
      <w:r>
        <w:rPr>
          <w:rFonts w:ascii="Times New Roman" w:hAnsi="Times New Roman"/>
          <w:b/>
          <w:sz w:val="20"/>
        </w:rPr>
        <w:t>Subsidiary</w:t>
      </w:r>
      <w:r>
        <w:rPr>
          <w:rFonts w:ascii="Times New Roman" w:hAnsi="Times New Roman"/>
          <w:sz w:val="20"/>
        </w:rPr>
        <w:t>” and, collectively, the “</w:t>
      </w:r>
      <w:r>
        <w:rPr>
          <w:rFonts w:ascii="Times New Roman" w:hAnsi="Times New Roman"/>
          <w:b/>
          <w:sz w:val="20"/>
        </w:rPr>
        <w:t>Subsidiaries</w:t>
      </w:r>
      <w:r>
        <w:rPr>
          <w:rFonts w:ascii="Times New Roman" w:hAnsi="Times New Roman"/>
          <w:sz w:val="20"/>
        </w:rPr>
        <w:t xml:space="preserve">”), has incurred any material liabilities or obligations, direct or contingent, or entered into any material transactions other than in the ordinary course of business, (b) the Company has not declared or paid any dividends or made any distribution of any kind with respect to its capital stock, (c) there has not been any change in the capital stock of the Company or any of its Subsidiaries, or, other than in the course of business, any grants under any stock compensation plan, and (d) there has not been any Material Adverse Change in the Company’s long-term or short-term debt. The Company represents that it has no direct or indirect subsidiaries other than those listed in Exhibit 21.1 to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2.8 </w:t>
      </w:r>
      <w:r>
        <w:rPr>
          <w:rFonts w:ascii="Times New Roman" w:hAnsi="Times New Roman"/>
          <w:sz w:val="20"/>
          <w:u w:val="single"/>
        </w:rPr>
        <w:t>Authorized Capital; Options, etc</w:t>
      </w:r>
      <w:r>
        <w:rPr>
          <w:rFonts w:ascii="Times New Roman" w:hAnsi="Times New Roman"/>
          <w:sz w:val="20"/>
        </w:rPr>
        <w:t xml:space="preserve">. The Company had, at the date or dates indicated in the Registration Statement, the Pricing Disclosure Package and the Prospectus, the duly authorized, issued and outstanding capitalization as set forth therein. Based on the assumptions stated in the Registration Statement, the Pricing Disclosure Package and the Prospectus, the Company will have on the Closing Date the adjusted stock capitalization set forth therein. Except as set forth in, or contemplated by, the Registration Statement, the Pricing Disclosure Package and the Prospectus, on the Effective Date, as of the Applicable Time and on the Closing Date and any Option Closing Date, there will be no stock options, warrants, or other rights to purchase or otherwise acquire any authorized, but unissued shares of Common Stock of the Company or any security convertible or exercisable into shares of Common Stock of the Company, or any contracts or commitments to issue or sell shares of Common Stock or any such options, warrants, rights or convertible securities.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2.9 </w:t>
      </w:r>
      <w:r>
        <w:rPr>
          <w:rFonts w:ascii="Times New Roman" w:hAnsi="Times New Roman"/>
          <w:sz w:val="20"/>
          <w:u w:val="single"/>
        </w:rPr>
        <w:t>Valid Issuance of Securities, etc.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2.9.1. </w:t>
      </w:r>
      <w:r>
        <w:rPr>
          <w:rFonts w:ascii="Times New Roman" w:hAnsi="Times New Roman"/>
          <w:sz w:val="20"/>
          <w:u w:val="single"/>
        </w:rPr>
        <w:t>Outstanding Securities</w:t>
      </w:r>
      <w:r>
        <w:rPr>
          <w:rFonts w:ascii="Times New Roman" w:hAnsi="Times New Roman"/>
          <w:sz w:val="20"/>
        </w:rPr>
        <w:t xml:space="preserve">. All issued and outstanding securities of the Company issued prior to the transactions contemplated by this Agreement have been duly authorized and validly issued and are fully paid and non-assessable; the holders thereof have no rights of rescission, rights of first refusal or rights of participation or similar rights and are not subject to personal liability by reason of being such holders; and none of such securities were issued in violation of the preemptive rights, rights of first refusal or rights of participation or similar rights of any holders of any security of the Company or similar contractual rights granted by the Company. The authorized shares of Common Stock conform in all material respects to all statements relating thereto contained in the Registration Statement, the Pricing Disclosure Package and the Prospectus. The offers and sales of the outstanding shares of Common Stock were at all relevant times either registered under the Securities Act and the applicable state securities or “blue sky” laws or, based in part on the representations and warranties of the purchasers of such shares of Common Stock, exempt from such registration requirements. The description of the Company’s stock option, stock bonus and other related plans or arrangements, and options and/or other rights granted thereunder, as described in the Registration Statement, the Pricing Disclosure Package and the Prospectus, accurately and fairly present, in all material respects, the information required to be shown with respect to such plans, arrangements, options and rights. </w:t>
      </w:r>
    </w:p>
    <w:p>
      <w:pPr>
        <w:pStyle w:val="TextBody"/>
        <w:bidi w:val="0"/>
        <w:spacing w:before="240" w:after="0"/>
        <w:jc w:val="left"/>
        <w:rPr>
          <w:rFonts w:ascii="Times New Roman" w:hAnsi="Times New Roman"/>
          <w:sz w:val="20"/>
        </w:rPr>
      </w:pPr>
      <w:r>
        <w:rPr>
          <w:rFonts w:ascii="Times New Roman" w:hAnsi="Times New Roman"/>
          <w:sz w:val="20"/>
        </w:rPr>
        <w:t xml:space="preserve">2.9.2. </w:t>
      </w:r>
      <w:r>
        <w:rPr>
          <w:rFonts w:ascii="Times New Roman" w:hAnsi="Times New Roman"/>
          <w:sz w:val="20"/>
          <w:u w:val="single"/>
        </w:rPr>
        <w:t>Securities Sold Pursuant to this Agreement</w:t>
      </w:r>
      <w:r>
        <w:rPr>
          <w:rFonts w:ascii="Times New Roman" w:hAnsi="Times New Roman"/>
          <w:sz w:val="20"/>
        </w:rPr>
        <w:t xml:space="preserve">. The Public Securities and Representative’s Securities have been duly authorized for issuance and sale and, when issued and paid for, will be validly issued, fully paid and non-assessable; the holders thereof are not and will not be subject to personal liability by reason of being such holders; the Public Securities and Representative’s Securities are not and will not be subject to the preemptive rights of any holders of any security of the Company or similar contractual rights granted by the Company; and all corporate action required to be taken for the authorization, issuance and sale of the Public Securities and Representative’s Securities has been duly and validly taken. The Public Securities and Representative’s Securities conform in all material respects to all statements with respect thereto contained in the Registration Statement, the Pricing Disclosure Package and the Prospectus. All corporate action required to be taken for the authorization, issuance and sale of the Representative’s Warrant has been duly and validly taken; the shares of Common Stock issuable upon exercise of the Representative’s Warrant have been duly authorized and reserved for issuance by all necessary corporate action on the part of the Company and when paid for and issued in accordance with the Representative’s Warrant and the Representative’s Warrant Agreement, such shares of Common Stock will be validly issued, fully paid and non-assessable; the holders thereof are not and will not be subject to personal liability by reason of being such holders; and such shares of Common Stock are not and will not be subject to the preemptive rights of any holders of any security of the Company or similar contractual rights granted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2.10 </w:t>
      </w:r>
      <w:r>
        <w:rPr>
          <w:rFonts w:ascii="Times New Roman" w:hAnsi="Times New Roman"/>
          <w:sz w:val="20"/>
          <w:u w:val="single"/>
        </w:rPr>
        <w:t>Registration Rights of Third Parties</w:t>
      </w:r>
      <w:r>
        <w:rPr>
          <w:rFonts w:ascii="Times New Roman" w:hAnsi="Times New Roman"/>
          <w:sz w:val="20"/>
        </w:rPr>
        <w:t xml:space="preserve">. Except as set forth in the Registration Statement, the Pricing Disclosure Package and the Prospectus, no holders of any securities of the Company or any rights exercisable for or convertible or exchangeable into securities of the Company have the right to require the Company to register any such securities of the Company under the Securities Act or to include any such securities in the Registration Statement or any other registration statement to be filed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2.11 </w:t>
      </w:r>
      <w:r>
        <w:rPr>
          <w:rFonts w:ascii="Times New Roman" w:hAnsi="Times New Roman"/>
          <w:sz w:val="20"/>
          <w:u w:val="single"/>
        </w:rPr>
        <w:t>Validity and Binding Effect of Agreements</w:t>
      </w:r>
      <w:r>
        <w:rPr>
          <w:rFonts w:ascii="Times New Roman" w:hAnsi="Times New Roman"/>
          <w:sz w:val="20"/>
        </w:rPr>
        <w:t xml:space="preserve">. This Agreement and the Representative’s Warrant Agreement have been duly and validly authorized by the Company, and, when executed and delivered, will constitute, the valid and binding agreements of the Company, enforceable against the Company in accordance with their respective terms, except: (i) as such enforceability may be limited by bankruptcy, insolvency, reorganization or similar laws affecting creditors’ rights generally; (ii) as enforceability of any indemnification or contribution provision may be limited under the federal and state securities laws; and (iii) that the remedy of specific performance and injunctive and other forms of equitable relief may be subject to the equitable defenses and to the discretion of the court before which any proceeding therefor may be brought. </w:t>
      </w:r>
    </w:p>
    <w:p>
      <w:pPr>
        <w:pStyle w:val="TextBody"/>
        <w:bidi w:val="0"/>
        <w:spacing w:before="240" w:after="0"/>
        <w:jc w:val="left"/>
        <w:rPr>
          <w:rFonts w:ascii="Times New Roman" w:hAnsi="Times New Roman"/>
          <w:sz w:val="20"/>
        </w:rPr>
      </w:pPr>
      <w:r>
        <w:rPr>
          <w:rFonts w:ascii="Times New Roman" w:hAnsi="Times New Roman"/>
          <w:sz w:val="20"/>
        </w:rPr>
        <w:t xml:space="preserve">2.12 </w:t>
      </w:r>
      <w:r>
        <w:rPr>
          <w:rFonts w:ascii="Times New Roman" w:hAnsi="Times New Roman"/>
          <w:sz w:val="20"/>
          <w:u w:val="single"/>
        </w:rPr>
        <w:t>No Conflicts, etc</w:t>
      </w:r>
      <w:r>
        <w:rPr>
          <w:rFonts w:ascii="Times New Roman" w:hAnsi="Times New Roman"/>
          <w:sz w:val="20"/>
        </w:rPr>
        <w:t>. The execution, delivery and performance by the Company of this Agreement, the Representative’s Warrant Agreement and all ancillary documents, the consummation by the Company of the transactions herein and therein contemplated and the compliance by the Company with the terms hereof and thereof do not and will not, with or without the giving of notice or the lapse of time or both: (i) result in a material breach of, or conflict with any of the terms and provisions of, or constitute a material default under, or result in the creation, modification, termination or imposition of any lien, charge, mortgage, pledge, security, interest, claim, preferential arrangement, encumbrance or restriction of any kind whatsoever upon any property or assets of the Company pursuant to the terms of any agreement or instrument, license or permit, to which the Company is a party, or to which any of its assets are bound; (ii) result in any violation of the provisions of the Company’s Certificate of Incorporation (as the same may be amended or restated from time to time, the “</w:t>
      </w:r>
      <w:r>
        <w:rPr>
          <w:rFonts w:ascii="Times New Roman" w:hAnsi="Times New Roman"/>
          <w:b/>
          <w:sz w:val="20"/>
        </w:rPr>
        <w:t>Charter</w:t>
      </w:r>
      <w:r>
        <w:rPr>
          <w:rFonts w:ascii="Times New Roman" w:hAnsi="Times New Roman"/>
          <w:sz w:val="20"/>
        </w:rPr>
        <w:t>”) or the by-laws of the Company; or (iii) violate any existing applicable law, rule, regulation, judgment, order or decree of any Governmental Entity as of the date hereof (including, without limitation, those promulgated by the Food and Drug Administration of the U.S. Department of Health and Human Services (the “</w:t>
      </w:r>
      <w:r>
        <w:rPr>
          <w:rFonts w:ascii="Times New Roman" w:hAnsi="Times New Roman"/>
          <w:b/>
          <w:sz w:val="20"/>
        </w:rPr>
        <w:t>FDA</w:t>
      </w:r>
      <w:r>
        <w:rPr>
          <w:rFonts w:ascii="Times New Roman" w:hAnsi="Times New Roman"/>
          <w:sz w:val="20"/>
        </w:rPr>
        <w:t xml:space="preserve">”) or by any foreign, federal, state or local regulatory authority performing functions similar to those performed by the FDA).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2.13 </w:t>
      </w:r>
      <w:r>
        <w:rPr>
          <w:rFonts w:ascii="Times New Roman" w:hAnsi="Times New Roman"/>
          <w:sz w:val="20"/>
          <w:u w:val="single"/>
        </w:rPr>
        <w:t>No Defaults; Violations</w:t>
      </w:r>
      <w:r>
        <w:rPr>
          <w:rFonts w:ascii="Times New Roman" w:hAnsi="Times New Roman"/>
          <w:sz w:val="20"/>
        </w:rPr>
        <w:t xml:space="preserve">. To the knowledge of the Company, no material default exists in the due performance and observance of any term, covenant or condition of any material license, contract, indenture, mortgage, deed of trust, note, loan or credit agreement, or any other agreement or instrument evidencing an obligation for borrowed money, or any other material agreement or instrument to which the Company is a party or by which the Company may be bound or to which any of the properties or assets of the Company is subject. The Company is not in violation of any term or provision of its Charter or by-laws, or in violation of any franchise, license, permit, applicable law, rule, regulation, judgment or decree of any Governmental Entity. </w:t>
      </w:r>
    </w:p>
    <w:p>
      <w:pPr>
        <w:pStyle w:val="TextBody"/>
        <w:bidi w:val="0"/>
        <w:spacing w:before="240" w:after="0"/>
        <w:jc w:val="left"/>
        <w:rPr>
          <w:rFonts w:ascii="Times New Roman" w:hAnsi="Times New Roman"/>
          <w:sz w:val="20"/>
        </w:rPr>
      </w:pPr>
      <w:r>
        <w:rPr>
          <w:rFonts w:ascii="Times New Roman" w:hAnsi="Times New Roman"/>
          <w:sz w:val="20"/>
        </w:rPr>
        <w:t xml:space="preserve">2.14 </w:t>
      </w:r>
      <w:r>
        <w:rPr>
          <w:rFonts w:ascii="Times New Roman" w:hAnsi="Times New Roman"/>
          <w:sz w:val="20"/>
          <w:u w:val="single"/>
        </w:rPr>
        <w:t>Corporate Power; Licenses; Consents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2.14.1. </w:t>
      </w:r>
      <w:r>
        <w:rPr>
          <w:rFonts w:ascii="Times New Roman" w:hAnsi="Times New Roman"/>
          <w:sz w:val="20"/>
          <w:u w:val="single"/>
        </w:rPr>
        <w:t>Conduct of Business</w:t>
      </w:r>
      <w:r>
        <w:rPr>
          <w:rFonts w:ascii="Times New Roman" w:hAnsi="Times New Roman"/>
          <w:sz w:val="20"/>
        </w:rPr>
        <w:t xml:space="preserve">. Except as described in the Registration Statement, the Pricing Disclosure Package and the Prospectus, the Company has all requisite corporate power and authority, and has all necessary consents, authorizations, approvals, orders, licenses, certificates, qualifications, registrations and permits of and from all governmental regulatory officials and bodies that it needs as of the date hereof to conduct its business purpose as described in the Registration Statement, the Pricing Disclosure Package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2.14.2. </w:t>
      </w:r>
      <w:r>
        <w:rPr>
          <w:rFonts w:ascii="Times New Roman" w:hAnsi="Times New Roman"/>
          <w:sz w:val="20"/>
          <w:u w:val="single"/>
        </w:rPr>
        <w:t>Transactions Contemplated Herein</w:t>
      </w:r>
      <w:r>
        <w:rPr>
          <w:rFonts w:ascii="Times New Roman" w:hAnsi="Times New Roman"/>
          <w:sz w:val="20"/>
        </w:rPr>
        <w:t>. The Company has all corporate power and authority to enter into this Agreement and to carry out the provisions and conditions hereof, and all consents, authorizations, approvals, orders, licenses, certificates, qualifications and registrations required in connection therewith have been obtained. No consent, authorization or order of, and no filing with, any court, government agency or other body is required for the valid issuance, sale and delivery of the Public Securities and the consummation of the transactions and agreements contemplated by this Agreement and the Representative’s Warrant Agreement and as contemplated by the Registration Statement, the Pricing Disclosure Package and the Prospectus, except with respect to applicable federal and state securities laws and the rules and regulations of the Financial Industry Regulatory Authority, Inc. (“</w:t>
      </w:r>
      <w:r>
        <w:rPr>
          <w:rFonts w:ascii="Times New Roman" w:hAnsi="Times New Roman"/>
          <w:b/>
          <w:sz w:val="20"/>
        </w:rPr>
        <w:t>FINRA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2.15 </w:t>
      </w:r>
      <w:r>
        <w:rPr>
          <w:rFonts w:ascii="Times New Roman" w:hAnsi="Times New Roman"/>
          <w:sz w:val="20"/>
          <w:u w:val="single"/>
        </w:rPr>
        <w:t>D&amp;O Questionnaires</w:t>
      </w:r>
      <w:r>
        <w:rPr>
          <w:rFonts w:ascii="Times New Roman" w:hAnsi="Times New Roman"/>
          <w:sz w:val="20"/>
        </w:rPr>
        <w:t>. To the Company’s knowledge, all information contained in the questionnaires (the “</w:t>
      </w:r>
      <w:r>
        <w:rPr>
          <w:rFonts w:ascii="Times New Roman" w:hAnsi="Times New Roman"/>
          <w:b/>
          <w:sz w:val="20"/>
        </w:rPr>
        <w:t>Questionnaires</w:t>
      </w:r>
      <w:r>
        <w:rPr>
          <w:rFonts w:ascii="Times New Roman" w:hAnsi="Times New Roman"/>
          <w:sz w:val="20"/>
        </w:rPr>
        <w:t>”) completed by each of the Company’s directors and officers immediately prior to the Offering (the “</w:t>
      </w:r>
      <w:r>
        <w:rPr>
          <w:rFonts w:ascii="Times New Roman" w:hAnsi="Times New Roman"/>
          <w:b/>
          <w:sz w:val="20"/>
        </w:rPr>
        <w:t>Insiders</w:t>
      </w:r>
      <w:r>
        <w:rPr>
          <w:rFonts w:ascii="Times New Roman" w:hAnsi="Times New Roman"/>
          <w:sz w:val="20"/>
        </w:rPr>
        <w:t xml:space="preserve">”) as supplemented by all information concerning the Company’s directors, officers and principal stockholders as described in the Registration Statement, the Pricing Disclosure Package and the Prospectus, as well as in the Lock-Up Agreement (as defined in Section 2.25 below), provided to the Underwriters, is true and correct in all material respects and the Company has not become aware of any information which would cause the information disclosed in the Questionnaires to become materially inaccurate and incorrect. </w:t>
      </w:r>
    </w:p>
    <w:p>
      <w:pPr>
        <w:pStyle w:val="TextBody"/>
        <w:bidi w:val="0"/>
        <w:spacing w:before="240" w:after="0"/>
        <w:jc w:val="left"/>
        <w:rPr>
          <w:rFonts w:ascii="Times New Roman" w:hAnsi="Times New Roman"/>
          <w:sz w:val="20"/>
        </w:rPr>
      </w:pPr>
      <w:r>
        <w:rPr>
          <w:rFonts w:ascii="Times New Roman" w:hAnsi="Times New Roman"/>
          <w:sz w:val="20"/>
        </w:rPr>
        <w:t xml:space="preserve">2.16 </w:t>
      </w:r>
      <w:r>
        <w:rPr>
          <w:rFonts w:ascii="Times New Roman" w:hAnsi="Times New Roman"/>
          <w:sz w:val="20"/>
          <w:u w:val="single"/>
        </w:rPr>
        <w:t>Litigation; Governmental Proceedings</w:t>
      </w:r>
      <w:r>
        <w:rPr>
          <w:rFonts w:ascii="Times New Roman" w:hAnsi="Times New Roman"/>
          <w:sz w:val="20"/>
        </w:rPr>
        <w:t xml:space="preserve">. There is no action, suit, proceeding, inquiry, arbitration, investigation, litigation or governmental proceeding pending or, to the Company’s knowledge, threatened against, or involving the Company or, to the Company’s knowledge, any executive officer or director which has not been disclosed in the Registration Statement, the Pricing Disclosure Package and the Prospectus or in connection with the Company’s listing application for the listing of the Public Securities on the Exchange. </w:t>
      </w:r>
    </w:p>
    <w:p>
      <w:pPr>
        <w:pStyle w:val="TextBody"/>
        <w:bidi w:val="0"/>
        <w:spacing w:before="240" w:after="0"/>
        <w:jc w:val="left"/>
        <w:rPr>
          <w:rFonts w:ascii="Times New Roman" w:hAnsi="Times New Roman"/>
          <w:sz w:val="20"/>
        </w:rPr>
      </w:pPr>
      <w:r>
        <w:rPr>
          <w:rFonts w:ascii="Times New Roman" w:hAnsi="Times New Roman"/>
          <w:sz w:val="20"/>
        </w:rPr>
        <w:t xml:space="preserve">2.17 </w:t>
      </w:r>
      <w:r>
        <w:rPr>
          <w:rFonts w:ascii="Times New Roman" w:hAnsi="Times New Roman"/>
          <w:sz w:val="20"/>
          <w:u w:val="single"/>
        </w:rPr>
        <w:t>Good Standing</w:t>
      </w:r>
      <w:r>
        <w:rPr>
          <w:rFonts w:ascii="Times New Roman" w:hAnsi="Times New Roman"/>
          <w:sz w:val="20"/>
        </w:rPr>
        <w:t xml:space="preserve">. The Company has been duly organized and is validly existing as a corporation, in good standing and is duly qualified to do business under the laws of the State of Delaware as of the date hereof; and is duly qualified to do business and is in good standing in each other jurisdiction in which its ownership or lease of property or the conduct of business requires such qualification except where failure to be qualified or in good standing would not reasonably be expected to result in a Material Adverse Change. </w:t>
      </w:r>
    </w:p>
    <w:p>
      <w:pPr>
        <w:pStyle w:val="TextBody"/>
        <w:bidi w:val="0"/>
        <w:spacing w:before="240" w:after="0"/>
        <w:jc w:val="left"/>
        <w:rPr>
          <w:rFonts w:ascii="Times New Roman" w:hAnsi="Times New Roman"/>
          <w:sz w:val="20"/>
        </w:rPr>
      </w:pPr>
      <w:r>
        <w:rPr>
          <w:rFonts w:ascii="Times New Roman" w:hAnsi="Times New Roman"/>
          <w:sz w:val="20"/>
        </w:rPr>
        <w:t xml:space="preserve">2.18 </w:t>
      </w:r>
      <w:r>
        <w:rPr>
          <w:rFonts w:ascii="Times New Roman" w:hAnsi="Times New Roman"/>
          <w:sz w:val="20"/>
          <w:u w:val="single"/>
        </w:rPr>
        <w:t>Insurance</w:t>
      </w:r>
      <w:r>
        <w:rPr>
          <w:rFonts w:ascii="Times New Roman" w:hAnsi="Times New Roman"/>
          <w:sz w:val="20"/>
        </w:rPr>
        <w:t xml:space="preserve">. The Company carries or is entitled to the benefits of insurance, with reputable insurers, in such amounts and covering such risks which the Company reasonably believes are adequate, including, but not limited to, directors and officers insurance coverage and all such insurance is in full force and effect. The Company has no reason to believe that it will not be able (i) to renew its existing insurance coverage as and when such policies expire or (ii) to obtain comparable coverage from similar institutions as may be necessary or appropriate to conduct its business.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2.19 </w:t>
      </w:r>
      <w:r>
        <w:rPr>
          <w:rFonts w:ascii="Times New Roman" w:hAnsi="Times New Roman"/>
          <w:sz w:val="20"/>
          <w:u w:val="single"/>
        </w:rPr>
        <w:t>Transactions Affecting Disclosure to FINRA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2.19.1. </w:t>
      </w:r>
      <w:r>
        <w:rPr>
          <w:rFonts w:ascii="Times New Roman" w:hAnsi="Times New Roman"/>
          <w:sz w:val="20"/>
          <w:u w:val="single"/>
        </w:rPr>
        <w:t>Finder’s Fees</w:t>
      </w:r>
      <w:r>
        <w:rPr>
          <w:rFonts w:ascii="Times New Roman" w:hAnsi="Times New Roman"/>
          <w:sz w:val="20"/>
        </w:rPr>
        <w:t xml:space="preserve">. Except as described in the Registration Statement, the Pricing Disclosure Package and the Prospectus, there are no claims, payments, arrangements, agreements or understandings relating to the payment of a finder’s, consulting or origination fee by the Company or, to the Company’s knowledge, any Insider with respect to the sale of the Public Securities hereunder or any other arrangements, agreements or understandings of the Company or, to the Company’s knowledge, any of its stockholders that may affect the Underwriters’ compensation, as determined by FINRA. </w:t>
      </w:r>
    </w:p>
    <w:p>
      <w:pPr>
        <w:pStyle w:val="TextBody"/>
        <w:bidi w:val="0"/>
        <w:spacing w:before="240" w:after="0"/>
        <w:jc w:val="left"/>
        <w:rPr>
          <w:rFonts w:ascii="Times New Roman" w:hAnsi="Times New Roman"/>
          <w:sz w:val="20"/>
        </w:rPr>
      </w:pPr>
      <w:r>
        <w:rPr>
          <w:rFonts w:ascii="Times New Roman" w:hAnsi="Times New Roman"/>
          <w:sz w:val="20"/>
        </w:rPr>
        <w:t xml:space="preserve">2.19.2. </w:t>
      </w:r>
      <w:r>
        <w:rPr>
          <w:rFonts w:ascii="Times New Roman" w:hAnsi="Times New Roman"/>
          <w:sz w:val="20"/>
          <w:u w:val="single"/>
        </w:rPr>
        <w:t>Payments Within Twelve (12) Months</w:t>
      </w:r>
      <w:r>
        <w:rPr>
          <w:rFonts w:ascii="Times New Roman" w:hAnsi="Times New Roman"/>
          <w:sz w:val="20"/>
        </w:rPr>
        <w:t xml:space="preserve">. Except as described in the Registration Statement, the Pricing Disclosure Package and the Prospectus, the Company has not made any direct or indirect payments (in cash, securities or otherwise) to: (i) any person, as a finder’s fee, consulting fee or otherwise, in consideration of such person raising capital for the Company or introducing to the Company persons who raised or provided capital to the Company; (ii) any FINRA member; or (iii) any person or entity that has any direct or indirect affiliation or association with any FINRA member, within the twelve (12) months prior to the Effective Date, other than the payment to the Underwriters as provided hereunder in connection with the Offering. </w:t>
      </w:r>
    </w:p>
    <w:p>
      <w:pPr>
        <w:pStyle w:val="TextBody"/>
        <w:bidi w:val="0"/>
        <w:spacing w:before="240" w:after="0"/>
        <w:jc w:val="left"/>
        <w:rPr>
          <w:rFonts w:ascii="Times New Roman" w:hAnsi="Times New Roman"/>
          <w:sz w:val="20"/>
        </w:rPr>
      </w:pPr>
      <w:r>
        <w:rPr>
          <w:rFonts w:ascii="Times New Roman" w:hAnsi="Times New Roman"/>
          <w:sz w:val="20"/>
        </w:rPr>
        <w:t xml:space="preserve">2.19.3. </w:t>
      </w:r>
      <w:r>
        <w:rPr>
          <w:rFonts w:ascii="Times New Roman" w:hAnsi="Times New Roman"/>
          <w:sz w:val="20"/>
          <w:u w:val="single"/>
        </w:rPr>
        <w:t>Use of Proceeds</w:t>
      </w:r>
      <w:r>
        <w:rPr>
          <w:rFonts w:ascii="Times New Roman" w:hAnsi="Times New Roman"/>
          <w:sz w:val="20"/>
        </w:rPr>
        <w:t xml:space="preserve">. None of the net proceeds of the Offering will be paid by the Company to any participating FINRA member or its affiliates, except as specifically authorized herein. </w:t>
      </w:r>
    </w:p>
    <w:p>
      <w:pPr>
        <w:pStyle w:val="TextBody"/>
        <w:bidi w:val="0"/>
        <w:spacing w:before="240" w:after="0"/>
        <w:jc w:val="left"/>
        <w:rPr>
          <w:rFonts w:ascii="Times New Roman" w:hAnsi="Times New Roman"/>
          <w:sz w:val="20"/>
        </w:rPr>
      </w:pPr>
      <w:r>
        <w:rPr>
          <w:rFonts w:ascii="Times New Roman" w:hAnsi="Times New Roman"/>
          <w:sz w:val="20"/>
        </w:rPr>
        <w:t xml:space="preserve">2.19.4. </w:t>
      </w:r>
      <w:r>
        <w:rPr>
          <w:rFonts w:ascii="Times New Roman" w:hAnsi="Times New Roman"/>
          <w:sz w:val="20"/>
          <w:u w:val="single"/>
        </w:rPr>
        <w:t>FINRA Affiliation</w:t>
      </w:r>
      <w:r>
        <w:rPr>
          <w:rFonts w:ascii="Times New Roman" w:hAnsi="Times New Roman"/>
          <w:sz w:val="20"/>
        </w:rPr>
        <w:t xml:space="preserve">. To the knowledge of the Company, there is no (i) officer or director of the Company, (ii) beneficial owner of 10% or more of any class of the Company’s securities or (iii) beneficial owner of the Company’s unregistered equity securities which were acquired during the 180-day period immediately preceding the filing of the Registration Statement that is an affiliate or associated person of a FINRA member participating in the Offering (as determined in accordance with the rules and regulations of FINRA). </w:t>
      </w:r>
    </w:p>
    <w:p>
      <w:pPr>
        <w:pStyle w:val="TextBody"/>
        <w:bidi w:val="0"/>
        <w:spacing w:before="240" w:after="0"/>
        <w:jc w:val="left"/>
        <w:rPr>
          <w:rFonts w:ascii="Times New Roman" w:hAnsi="Times New Roman"/>
          <w:sz w:val="20"/>
        </w:rPr>
      </w:pPr>
      <w:r>
        <w:rPr>
          <w:rFonts w:ascii="Times New Roman" w:hAnsi="Times New Roman"/>
          <w:sz w:val="20"/>
        </w:rPr>
        <w:t xml:space="preserve">2.19.5. </w:t>
      </w:r>
      <w:r>
        <w:rPr>
          <w:rFonts w:ascii="Times New Roman" w:hAnsi="Times New Roman"/>
          <w:sz w:val="20"/>
          <w:u w:val="single"/>
        </w:rPr>
        <w:t>Information</w:t>
      </w:r>
      <w:r>
        <w:rPr>
          <w:rFonts w:ascii="Times New Roman" w:hAnsi="Times New Roman"/>
          <w:sz w:val="20"/>
        </w:rPr>
        <w:t xml:space="preserve">. All information provided by the Company in its, and, to the Company’s knowledge, all information provided by the Company’s officers and directors in their, FINRA questionnaire to Representative Counsel specifically for use by Representative Counsel in connection with its Public Offering System filings (and related disclosure) with FINRA is true, correct and complete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2.20 </w:t>
      </w:r>
      <w:r>
        <w:rPr>
          <w:rFonts w:ascii="Times New Roman" w:hAnsi="Times New Roman"/>
          <w:sz w:val="20"/>
          <w:u w:val="single"/>
        </w:rPr>
        <w:t>Foreign Corrupt Practices Act</w:t>
      </w:r>
      <w:r>
        <w:rPr>
          <w:rFonts w:ascii="Times New Roman" w:hAnsi="Times New Roman"/>
          <w:sz w:val="20"/>
        </w:rPr>
        <w:t xml:space="preserve">. None of the Company and its Subsidiaries or, to the Company’s knowledge, any director, officer, agent, employee or affiliate of the Company and its Subsidiaries or any other person acting on behalf of the Company and its Subsidiaries, has, directly or indirectly, (i) given or agreed to give any money, gift or similar benefit (other than legal price concessions to customers in the ordinary course of business) to any customer, supplier, employee or agent of a customer or supplier, or official or employee of any governmental agency or instrumentality of any government (domestic or foreign) or any political party or candidate for office (domestic or foreign) or other person who was, is, or may be in a position to help or hinder the business of the Company (or assist it in connection with any actual or proposed transaction) that (a) might subject the Company to any damage or penalty in any civil, criminal or governmental litigation or proceeding, (b) if not given in the past, might have had a Material Adverse Change, (c) if not continued in the future, might adversely affect the assets, business, operations or prospects of the Company, or (d) violated or is in violation of any provision of the FCPA or any applicable non-U.S. anti-bribery statute or regulation; (ii) made any bribe, rebate, payoff, influence payment, kickback or other unlawful payment; or (iii) received notice of any investigation, proceeding or inquiry by any Governmental Entity regarding any of the matters in clauses (i) or (ii) above; and the Company and, to the knowledge of the Company, the Company’s affiliates have conducted their respective businesses in compliance with the FCPA and have instituted and maintain policies and procedures designed to ensure, and which are reasonably expected to continue to ensure, continued compliance therewith. The Company has taken reasonable steps to ensure that its accounting controls and procedures are sufficient to cause the Company to comply in all material respects with the Foreign Corrupt Practices Act of 1977, as amended. </w:t>
      </w:r>
    </w:p>
    <w:p>
      <w:pPr>
        <w:pStyle w:val="TextBody"/>
        <w:bidi w:val="0"/>
        <w:spacing w:before="240" w:after="0"/>
        <w:jc w:val="left"/>
        <w:rPr>
          <w:rFonts w:ascii="Times New Roman" w:hAnsi="Times New Roman"/>
          <w:sz w:val="20"/>
        </w:rPr>
      </w:pPr>
      <w:r>
        <w:rPr>
          <w:rFonts w:ascii="Times New Roman" w:hAnsi="Times New Roman"/>
          <w:sz w:val="20"/>
        </w:rPr>
        <w:t xml:space="preserve">2.21 </w:t>
      </w:r>
      <w:r>
        <w:rPr>
          <w:rFonts w:ascii="Times New Roman" w:hAnsi="Times New Roman"/>
          <w:sz w:val="20"/>
          <w:u w:val="single"/>
        </w:rPr>
        <w:t>Compliance with OFAC</w:t>
      </w:r>
      <w:r>
        <w:rPr>
          <w:rFonts w:ascii="Times New Roman" w:hAnsi="Times New Roman"/>
          <w:sz w:val="20"/>
        </w:rPr>
        <w:t>. None of the Company and its Subsidiaries or, to the Company’s knowledge, any director, officer, agent, employee or affiliate of the Company and its Subsidiaries or any other person acting on behalf of the Company and its Subsidiaries, is currently subject to any U.S. sanctions administered by the Office of Foreign Assets Control of the U.S. Department of the Treasury (“</w:t>
      </w:r>
      <w:r>
        <w:rPr>
          <w:rFonts w:ascii="Times New Roman" w:hAnsi="Times New Roman"/>
          <w:b/>
          <w:sz w:val="20"/>
        </w:rPr>
        <w:t>OFAC</w:t>
      </w:r>
      <w:r>
        <w:rPr>
          <w:rFonts w:ascii="Times New Roman" w:hAnsi="Times New Roman"/>
          <w:sz w:val="20"/>
        </w:rPr>
        <w:t xml:space="preserve">”), and the Company will not, directly or indirectly, use the proceeds of the Offering hereunder, or lend, contribute or otherwise make available such proceeds to any subsidiary, joint venture partner or other person or entity, for the purpose of financing the activities of any person currently subject to any U.S. sanctions administered by OFAC.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2.22 </w:t>
      </w:r>
      <w:r>
        <w:rPr>
          <w:rFonts w:ascii="Times New Roman" w:hAnsi="Times New Roman"/>
          <w:sz w:val="20"/>
          <w:u w:val="single"/>
        </w:rPr>
        <w:t>Forward-Looking Statements</w:t>
      </w:r>
      <w:r>
        <w:rPr>
          <w:rFonts w:ascii="Times New Roman" w:hAnsi="Times New Roman"/>
          <w:sz w:val="20"/>
        </w:rPr>
        <w:t xml:space="preserve">. No forward-looking statement (within the meaning of Section 27A of the Securities Act and Section 21E of the Exchange Act) contained in either the Registration Statement, Disclosure Package or Prospectus has been made or reaffirmed without a reasonable basis or has been disclosed other than in good faith. </w:t>
      </w:r>
    </w:p>
    <w:p>
      <w:pPr>
        <w:pStyle w:val="TextBody"/>
        <w:bidi w:val="0"/>
        <w:spacing w:before="240" w:after="0"/>
        <w:jc w:val="left"/>
        <w:rPr>
          <w:rFonts w:ascii="Times New Roman" w:hAnsi="Times New Roman"/>
          <w:sz w:val="20"/>
        </w:rPr>
      </w:pPr>
      <w:r>
        <w:rPr>
          <w:rFonts w:ascii="Times New Roman" w:hAnsi="Times New Roman"/>
          <w:sz w:val="20"/>
        </w:rPr>
        <w:t xml:space="preserve">2.23 </w:t>
      </w:r>
      <w:r>
        <w:rPr>
          <w:rFonts w:ascii="Times New Roman" w:hAnsi="Times New Roman"/>
          <w:sz w:val="20"/>
          <w:u w:val="single"/>
        </w:rPr>
        <w:t>Money Laundering Laws</w:t>
      </w:r>
      <w:r>
        <w:rPr>
          <w:rFonts w:ascii="Times New Roman" w:hAnsi="Times New Roman"/>
          <w:sz w:val="20"/>
        </w:rPr>
        <w:t>.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Entity (collectively, the “</w:t>
      </w:r>
      <w:r>
        <w:rPr>
          <w:rFonts w:ascii="Times New Roman" w:hAnsi="Times New Roman"/>
          <w:b/>
          <w:sz w:val="20"/>
        </w:rPr>
        <w:t>Money Laundering Laws</w:t>
      </w:r>
      <w:r>
        <w:rPr>
          <w:rFonts w:ascii="Times New Roman" w:hAnsi="Times New Roman"/>
          <w:sz w:val="20"/>
        </w:rPr>
        <w:t xml:space="preserve">”); and no action, suit or proceeding by or before any Governmental Entity involving the Company with respect to the Money Laundering Laws is pending or, to the best knowledge of the Company, threatened. </w:t>
      </w:r>
    </w:p>
    <w:p>
      <w:pPr>
        <w:pStyle w:val="TextBody"/>
        <w:bidi w:val="0"/>
        <w:spacing w:before="240" w:after="0"/>
        <w:jc w:val="left"/>
        <w:rPr>
          <w:rFonts w:ascii="Times New Roman" w:hAnsi="Times New Roman"/>
          <w:sz w:val="20"/>
        </w:rPr>
      </w:pPr>
      <w:r>
        <w:rPr>
          <w:rFonts w:ascii="Times New Roman" w:hAnsi="Times New Roman"/>
          <w:sz w:val="20"/>
        </w:rPr>
        <w:t xml:space="preserve">2.24 </w:t>
      </w:r>
      <w:r>
        <w:rPr>
          <w:rFonts w:ascii="Times New Roman" w:hAnsi="Times New Roman"/>
          <w:sz w:val="20"/>
          <w:u w:val="single"/>
        </w:rPr>
        <w:t>Officers’ Certificate</w:t>
      </w:r>
      <w:r>
        <w:rPr>
          <w:rFonts w:ascii="Times New Roman" w:hAnsi="Times New Roman"/>
          <w:sz w:val="20"/>
        </w:rPr>
        <w:t xml:space="preserve">. Any certificate signed by any duly authorized officer of the Company and delivered to you or to Representative Counsel shall be deemed a representation and warranty by the Company to the Underwriters as to the matters covered thereby. </w:t>
      </w:r>
    </w:p>
    <w:p>
      <w:pPr>
        <w:pStyle w:val="TextBody"/>
        <w:bidi w:val="0"/>
        <w:spacing w:before="240" w:after="0"/>
        <w:jc w:val="left"/>
        <w:rPr>
          <w:rFonts w:ascii="Times New Roman" w:hAnsi="Times New Roman"/>
          <w:sz w:val="20"/>
        </w:rPr>
      </w:pPr>
      <w:r>
        <w:rPr>
          <w:rFonts w:ascii="Times New Roman" w:hAnsi="Times New Roman"/>
          <w:sz w:val="20"/>
        </w:rPr>
        <w:t xml:space="preserve">2.25 </w:t>
      </w:r>
      <w:r>
        <w:rPr>
          <w:rFonts w:ascii="Times New Roman" w:hAnsi="Times New Roman"/>
          <w:sz w:val="20"/>
          <w:u w:val="single"/>
        </w:rPr>
        <w:t>Lock-Up Agreements</w:t>
      </w:r>
      <w:r>
        <w:rPr>
          <w:rFonts w:ascii="Times New Roman" w:hAnsi="Times New Roman"/>
          <w:sz w:val="20"/>
        </w:rPr>
        <w:t xml:space="preserve">. </w:t>
      </w:r>
      <w:r>
        <w:rPr>
          <w:rFonts w:ascii="Times New Roman" w:hAnsi="Times New Roman"/>
          <w:sz w:val="20"/>
          <w:u w:val="single"/>
        </w:rPr>
        <w:t>Schedule 3</w:t>
      </w:r>
      <w:r>
        <w:rPr>
          <w:rFonts w:ascii="Times New Roman" w:hAnsi="Times New Roman"/>
          <w:sz w:val="20"/>
        </w:rPr>
        <w:t xml:space="preserve"> hereto contains a complete and accurate list of the Company’s officers, directors, and the Bios Entities (collectively, the “</w:t>
      </w:r>
      <w:r>
        <w:rPr>
          <w:rFonts w:ascii="Times New Roman" w:hAnsi="Times New Roman"/>
          <w:b/>
          <w:sz w:val="20"/>
        </w:rPr>
        <w:t>Lock-Up Parties</w:t>
      </w:r>
      <w:r>
        <w:rPr>
          <w:rFonts w:ascii="Times New Roman" w:hAnsi="Times New Roman"/>
          <w:sz w:val="20"/>
        </w:rPr>
        <w:t xml:space="preserve">”). The Company has caused each of the Lock-Up Parties to deliver to the Representative an executed Lock-Up Agreement, in the form attached hereto as </w:t>
      </w:r>
      <w:r>
        <w:rPr>
          <w:rFonts w:ascii="Times New Roman" w:hAnsi="Times New Roman"/>
          <w:sz w:val="20"/>
          <w:u w:val="single"/>
        </w:rPr>
        <w:t>Exhibit B</w:t>
      </w:r>
      <w:r>
        <w:rPr>
          <w:rFonts w:ascii="Times New Roman" w:hAnsi="Times New Roman"/>
          <w:sz w:val="20"/>
        </w:rPr>
        <w:t xml:space="preserve"> (the “</w:t>
      </w:r>
      <w:r>
        <w:rPr>
          <w:rFonts w:ascii="Times New Roman" w:hAnsi="Times New Roman"/>
          <w:b/>
          <w:sz w:val="20"/>
        </w:rPr>
        <w:t>Lock-Up Agreement</w:t>
      </w:r>
      <w:r>
        <w:rPr>
          <w:rFonts w:ascii="Times New Roman" w:hAnsi="Times New Roman"/>
          <w:sz w:val="20"/>
        </w:rPr>
        <w:t xml:space="preserve">”), prior to the execution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2.26 </w:t>
      </w:r>
      <w:r>
        <w:rPr>
          <w:rFonts w:ascii="Times New Roman" w:hAnsi="Times New Roman"/>
          <w:sz w:val="20"/>
          <w:u w:val="single"/>
        </w:rPr>
        <w:t>Subsidiaries</w:t>
      </w:r>
      <w:r>
        <w:rPr>
          <w:rFonts w:ascii="Times New Roman" w:hAnsi="Times New Roman"/>
          <w:sz w:val="20"/>
        </w:rPr>
        <w:t xml:space="preserve">. All direct and indirect Subsidiaries of the Company are duly organized and in good standing under the laws of the place of organization or incorporation; and each Subsidiary is in good standing in each jurisdiction in which its ownership or lease of property or the conduct of business requires such qualification except where failure to be qualified would not reasonably be expected to result in a Material Adverse Change. The Company’s ownership and control of each Subsidiary is as described in the Registration Statement, the Pricing Disclosure Package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2.27 </w:t>
      </w:r>
      <w:r>
        <w:rPr>
          <w:rFonts w:ascii="Times New Roman" w:hAnsi="Times New Roman"/>
          <w:sz w:val="20"/>
          <w:u w:val="single"/>
        </w:rPr>
        <w:t>Related Party Transactions</w:t>
      </w:r>
      <w:r>
        <w:rPr>
          <w:rFonts w:ascii="Times New Roman" w:hAnsi="Times New Roman"/>
          <w:sz w:val="20"/>
        </w:rPr>
        <w:t xml:space="preserve">. There are no business relationships or related party transactions involving the Company or any other person required to be described in the Registration Statement, the Pricing Disclosure Package and the Prospectus that have not been described as required. </w:t>
      </w:r>
    </w:p>
    <w:p>
      <w:pPr>
        <w:pStyle w:val="TextBody"/>
        <w:bidi w:val="0"/>
        <w:spacing w:before="240" w:after="0"/>
        <w:jc w:val="left"/>
        <w:rPr>
          <w:rFonts w:ascii="Times New Roman" w:hAnsi="Times New Roman"/>
          <w:sz w:val="20"/>
        </w:rPr>
      </w:pPr>
      <w:r>
        <w:rPr>
          <w:rFonts w:ascii="Times New Roman" w:hAnsi="Times New Roman"/>
          <w:sz w:val="20"/>
        </w:rPr>
        <w:t xml:space="preserve">2.28 </w:t>
      </w:r>
      <w:r>
        <w:rPr>
          <w:rFonts w:ascii="Times New Roman" w:hAnsi="Times New Roman"/>
          <w:sz w:val="20"/>
          <w:u w:val="single"/>
        </w:rPr>
        <w:t>No Relationships with Customers and Suppliers</w:t>
      </w:r>
      <w:r>
        <w:rPr>
          <w:rFonts w:ascii="Times New Roman" w:hAnsi="Times New Roman"/>
          <w:sz w:val="20"/>
        </w:rPr>
        <w:t xml:space="preserve">. No relationship, direct or indirect, exists between or among the Company on the one hand, and to the Company’s knowledge, the directors, officers, 5% or greater stockholders, customers or suppliers of the Company or any of the Company’s affiliates on the other hand, which is required to be described in the Pricing Disclosure Package and the Prospectus or a document incorporated by reference therein and which is not so described. </w:t>
      </w:r>
    </w:p>
    <w:p>
      <w:pPr>
        <w:pStyle w:val="TextBody"/>
        <w:bidi w:val="0"/>
        <w:spacing w:before="240" w:after="0"/>
        <w:jc w:val="left"/>
        <w:rPr>
          <w:rFonts w:ascii="Times New Roman" w:hAnsi="Times New Roman"/>
          <w:sz w:val="20"/>
        </w:rPr>
      </w:pPr>
      <w:r>
        <w:rPr>
          <w:rFonts w:ascii="Times New Roman" w:hAnsi="Times New Roman"/>
          <w:sz w:val="20"/>
        </w:rPr>
        <w:t xml:space="preserve">2.29 </w:t>
      </w:r>
      <w:r>
        <w:rPr>
          <w:rFonts w:ascii="Times New Roman" w:hAnsi="Times New Roman"/>
          <w:sz w:val="20"/>
          <w:u w:val="single"/>
        </w:rPr>
        <w:t>No Unconsolidated Entities</w:t>
      </w:r>
      <w:r>
        <w:rPr>
          <w:rFonts w:ascii="Times New Roman" w:hAnsi="Times New Roman"/>
          <w:sz w:val="20"/>
        </w:rPr>
        <w:t xml:space="preserve">. There are no transactions, arrangements or other relationships between and/or among the Company, any of its affiliates (as such term is defined in Rule 405 of the Securities Act) and any unconsolidated entity, including, but not limited to, any structured finance, special purpose or limited purpose entity that could reasonably be expected to materially affect the Company’s liquidity or the availability of or requirements for its capital resources required to be described in the Pricing Disclosure Package and the Prospectus or a document incorporated by reference therein which have not been described as required. </w:t>
      </w:r>
    </w:p>
    <w:p>
      <w:pPr>
        <w:pStyle w:val="TextBody"/>
        <w:bidi w:val="0"/>
        <w:spacing w:before="240" w:after="0"/>
        <w:jc w:val="left"/>
        <w:rPr>
          <w:rFonts w:ascii="Times New Roman" w:hAnsi="Times New Roman"/>
          <w:sz w:val="20"/>
        </w:rPr>
      </w:pPr>
      <w:r>
        <w:rPr>
          <w:rFonts w:ascii="Times New Roman" w:hAnsi="Times New Roman"/>
          <w:sz w:val="20"/>
        </w:rPr>
        <w:t xml:space="preserve">2.30 </w:t>
      </w:r>
      <w:r>
        <w:rPr>
          <w:rFonts w:ascii="Times New Roman" w:hAnsi="Times New Roman"/>
          <w:sz w:val="20"/>
          <w:u w:val="single"/>
        </w:rPr>
        <w:t>Board of Directors</w:t>
      </w:r>
      <w:r>
        <w:rPr>
          <w:rFonts w:ascii="Times New Roman" w:hAnsi="Times New Roman"/>
          <w:sz w:val="20"/>
        </w:rPr>
        <w:t>. The Board of Directors of the Company is comprised of the persons set forth in the Registration Statement, the Pricing Disclosure Package and the Prospectus. The qualifications of the persons serving as board members and the overall composition of the board comply with the Exchange Act, the Exchange Act Regulations, the Sarbanes-Oxley Act of 2002 and the rules promulgated thereunder (the “</w:t>
      </w:r>
      <w:r>
        <w:rPr>
          <w:rFonts w:ascii="Times New Roman" w:hAnsi="Times New Roman"/>
          <w:b/>
          <w:sz w:val="20"/>
        </w:rPr>
        <w:t>Sarbanes-Oxley Act</w:t>
      </w:r>
      <w:r>
        <w:rPr>
          <w:rFonts w:ascii="Times New Roman" w:hAnsi="Times New Roman"/>
          <w:sz w:val="20"/>
        </w:rPr>
        <w:t xml:space="preserve">”) applicable to the Company and the listing rules of the Exchange. Subject to any grace or extension period authorized by the Exchange, based on the Questionnaires, at least one member of the Audit Committee of the Board of Directors of the Company will qualify as an “audit committee financial expert,” as such term is defined under Regulation S-K and the listing rules of the Exchange. In addition, at least a majority of the persons serving on the Board of Directors qualify as “independent,” as defined under the listing rules of the Exchange.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2.31 </w:t>
      </w:r>
      <w:r>
        <w:rPr>
          <w:rFonts w:ascii="Times New Roman" w:hAnsi="Times New Roman"/>
          <w:sz w:val="20"/>
          <w:u w:val="single"/>
        </w:rPr>
        <w:t>Sarbanes-Oxley Compliance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2.31.1. </w:t>
      </w:r>
      <w:r>
        <w:rPr>
          <w:rFonts w:ascii="Times New Roman" w:hAnsi="Times New Roman"/>
          <w:sz w:val="20"/>
          <w:u w:val="single"/>
        </w:rPr>
        <w:t>Disclosure Controls</w:t>
      </w:r>
      <w:r>
        <w:rPr>
          <w:rFonts w:ascii="Times New Roman" w:hAnsi="Times New Roman"/>
          <w:sz w:val="20"/>
        </w:rPr>
        <w:t xml:space="preserve">. The Company has developed and currently maintains disclosure controls and procedures that will comply with Rule 13a-15 or 15d-15 under the Exchange Act Regulations. </w:t>
      </w:r>
    </w:p>
    <w:p>
      <w:pPr>
        <w:pStyle w:val="TextBody"/>
        <w:bidi w:val="0"/>
        <w:spacing w:before="240" w:after="0"/>
        <w:jc w:val="left"/>
        <w:rPr>
          <w:rFonts w:ascii="Times New Roman" w:hAnsi="Times New Roman"/>
          <w:sz w:val="20"/>
        </w:rPr>
      </w:pPr>
      <w:r>
        <w:rPr>
          <w:rFonts w:ascii="Times New Roman" w:hAnsi="Times New Roman"/>
          <w:sz w:val="20"/>
        </w:rPr>
        <w:t xml:space="preserve">2.31.2. </w:t>
      </w:r>
      <w:r>
        <w:rPr>
          <w:rFonts w:ascii="Times New Roman" w:hAnsi="Times New Roman"/>
          <w:sz w:val="20"/>
          <w:u w:val="single"/>
        </w:rPr>
        <w:t>Compliance</w:t>
      </w:r>
      <w:r>
        <w:rPr>
          <w:rFonts w:ascii="Times New Roman" w:hAnsi="Times New Roman"/>
          <w:sz w:val="20"/>
        </w:rPr>
        <w:t xml:space="preserve">. The Company is, or at the Applicable Time and on the Closing Date will be, in material compliance with the provisions of the Sarbanes-Oxley Act applicable to it, and has implemented or will implement such programs and taken reasonable steps to ensure the Company’s future compliance (not later than the relevant statutory and regulatory deadlines therefor) with all of the material provisions of the Sarbanes-Oxley Act. </w:t>
      </w:r>
    </w:p>
    <w:p>
      <w:pPr>
        <w:pStyle w:val="TextBody"/>
        <w:bidi w:val="0"/>
        <w:spacing w:before="240" w:after="0"/>
        <w:jc w:val="left"/>
        <w:rPr>
          <w:rFonts w:ascii="Times New Roman" w:hAnsi="Times New Roman"/>
          <w:sz w:val="20"/>
        </w:rPr>
      </w:pPr>
      <w:r>
        <w:rPr>
          <w:rFonts w:ascii="Times New Roman" w:hAnsi="Times New Roman"/>
          <w:sz w:val="20"/>
        </w:rPr>
        <w:t xml:space="preserve">2.32 </w:t>
      </w:r>
      <w:r>
        <w:rPr>
          <w:rFonts w:ascii="Times New Roman" w:hAnsi="Times New Roman"/>
          <w:sz w:val="20"/>
          <w:u w:val="single"/>
        </w:rPr>
        <w:t>Accounting Controls</w:t>
      </w:r>
      <w:r>
        <w:rPr>
          <w:rFonts w:ascii="Times New Roman" w:hAnsi="Times New Roman"/>
          <w:sz w:val="20"/>
        </w:rPr>
        <w:t xml:space="preserve">. Except as described in the Registration Statement, the Pricing Disclosure Package and the Prospectus, the Company and its Subsidiaries maintain systems of “internal control over financial reporting” (as defined under Rules 13a-15 and 15d-15 under the Exchange Act Regulations)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the Registration Statement, the Pricing Disclosure Package and the Prospectus, the Company is not aware of any material weaknesses in its internal controls. The Company’s auditors and the Audit Committee of the Board of Directors of the Company have been advised of: (i) all significant deficiencies and material weaknesses in the design or operation of internal controls over financial reporting which are known to the Company’s management and that have adversely affected or are reasonably likely to adversely affect the Company’ ability to record, process, summarize and report financial information; and (ii) any fraud known to the Company’s management, whether or not material, that involves management or other employees who have a significant role in the Company’s internal controls over financial reporting. </w:t>
      </w:r>
    </w:p>
    <w:p>
      <w:pPr>
        <w:pStyle w:val="TextBody"/>
        <w:bidi w:val="0"/>
        <w:spacing w:before="240" w:after="0"/>
        <w:jc w:val="left"/>
        <w:rPr>
          <w:rFonts w:ascii="Times New Roman" w:hAnsi="Times New Roman"/>
          <w:sz w:val="20"/>
        </w:rPr>
      </w:pPr>
      <w:r>
        <w:rPr>
          <w:rFonts w:ascii="Times New Roman" w:hAnsi="Times New Roman"/>
          <w:sz w:val="20"/>
        </w:rPr>
        <w:t xml:space="preserve">2.33 </w:t>
      </w:r>
      <w:r>
        <w:rPr>
          <w:rFonts w:ascii="Times New Roman" w:hAnsi="Times New Roman"/>
          <w:sz w:val="20"/>
          <w:u w:val="single"/>
        </w:rPr>
        <w:t>No Investment Company Status</w:t>
      </w:r>
      <w:r>
        <w:rPr>
          <w:rFonts w:ascii="Times New Roman" w:hAnsi="Times New Roman"/>
          <w:sz w:val="20"/>
        </w:rPr>
        <w:t xml:space="preserve">. The Company is not and, after giving effect to the Offering and the application of the proceeds thereof as described in the Registration Statement, the Pricing Disclosure Package and the Prospectus, will not be, required to register as an “investment company,” as defined in the Investment Company Act of 1940, as amended. </w:t>
      </w:r>
    </w:p>
    <w:p>
      <w:pPr>
        <w:pStyle w:val="TextBody"/>
        <w:bidi w:val="0"/>
        <w:spacing w:before="240" w:after="0"/>
        <w:jc w:val="left"/>
        <w:rPr>
          <w:rFonts w:ascii="Times New Roman" w:hAnsi="Times New Roman"/>
          <w:sz w:val="20"/>
        </w:rPr>
      </w:pPr>
      <w:r>
        <w:rPr>
          <w:rFonts w:ascii="Times New Roman" w:hAnsi="Times New Roman"/>
          <w:sz w:val="20"/>
        </w:rPr>
        <w:t xml:space="preserve">2.34 </w:t>
      </w:r>
      <w:r>
        <w:rPr>
          <w:rFonts w:ascii="Times New Roman" w:hAnsi="Times New Roman"/>
          <w:sz w:val="20"/>
          <w:u w:val="single"/>
        </w:rPr>
        <w:t>No Labor Disputes</w:t>
      </w:r>
      <w:r>
        <w:rPr>
          <w:rFonts w:ascii="Times New Roman" w:hAnsi="Times New Roman"/>
          <w:sz w:val="20"/>
        </w:rPr>
        <w:t xml:space="preserve">. No labor dispute with the employees of the Company or any of its Subsidiaries exists or, to the knowledge of the Company, is imminent. </w:t>
      </w:r>
    </w:p>
    <w:p>
      <w:pPr>
        <w:pStyle w:val="TextBody"/>
        <w:bidi w:val="0"/>
        <w:spacing w:before="240" w:after="0"/>
        <w:jc w:val="left"/>
        <w:rPr>
          <w:rFonts w:ascii="Times New Roman" w:hAnsi="Times New Roman"/>
          <w:sz w:val="20"/>
        </w:rPr>
      </w:pPr>
      <w:r>
        <w:rPr>
          <w:rFonts w:ascii="Times New Roman" w:hAnsi="Times New Roman"/>
          <w:sz w:val="20"/>
        </w:rPr>
        <w:t xml:space="preserve">2.35 </w:t>
      </w:r>
      <w:r>
        <w:rPr>
          <w:rFonts w:ascii="Times New Roman" w:hAnsi="Times New Roman"/>
          <w:sz w:val="20"/>
          <w:u w:val="single"/>
        </w:rPr>
        <w:t>Intellectual Property Rights</w:t>
      </w:r>
      <w:r>
        <w:rPr>
          <w:rFonts w:ascii="Times New Roman" w:hAnsi="Times New Roman"/>
          <w:sz w:val="20"/>
        </w:rPr>
        <w:t>. The Company and each of its Subsidiaries owns or possesses or has valid rights to use all patents, patent applications, trademarks, service marks, trade names, trademark registrations, service mark registrations, copyrights, licenses, inventions, trade secrets and similar rights (“</w:t>
      </w:r>
      <w:r>
        <w:rPr>
          <w:rFonts w:ascii="Times New Roman" w:hAnsi="Times New Roman"/>
          <w:b/>
          <w:sz w:val="20"/>
        </w:rPr>
        <w:t>Intellectual Property Rights</w:t>
      </w:r>
      <w:r>
        <w:rPr>
          <w:rFonts w:ascii="Times New Roman" w:hAnsi="Times New Roman"/>
          <w:sz w:val="20"/>
        </w:rPr>
        <w:t xml:space="preserve">”) necessary for the conduct of the business of the Company and its Subsidiaries as currently carried on and as described in the Registration Statement, the Pricing Disclosure Package and the Prospectus. To the knowledge of the Company, no action or use by the Company or any of its Subsidiaries necessary for the conduct of its business as currently carried on and as described in the Registration Statement and the Prospectus will involve or give rise to any infringement of, or license or similar fees for, any Intellectual Property Rights of others. Neither the Company nor any of its Subsidiaries has received any notice alleging any such infringement, fee or conflict with asserted Intellectual Property Rights of others. To the knowledge of the Company, there is no infringement, misappropriation or violation by third parties of any of the Intellectual Property Rights owned by the Company; there is no pending or, to the knowledge of the Company, threatened action, suit, proceeding or claim by others challenging the rights of the Company in or to any such Intellectual Property Rights, and the Company is unaware of any facts which would form a reasonable basis for any such claim; the Intellectual Property Rights owned by the Company and, to the knowledge of the Company,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Intellectual Property Rights licensed to the Company have not been adjudged by a court of competent jurisdiction invalid or unenforceable, in whole or in part, and there is no pending or, to the Company’s knowledge, threatened action, suit, proceeding or claim by others challenging the validity or scope of any such Intellectual Property Rights, and the Company is unaware of any facts which would form a reasonable basis for any such claim; there is no pending or, to the Company’s knowledge, threatened action, suit, proceeding or claim by others that the Company infringes, misappropriates or otherwise violates any Intellectual Property Rights or other proprietary rights of others, the Company has not received any written notice of such claim and the Company is unaware of any other facts which would form a reasonable basis for any such claim; and to the Company’s knowledge, no employee of the Company is in or has ever been in violation in any material respect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or actions undertaken by the employee while employed with the Company and could reasonably be expected to result, individually or in the aggregate, in a Material Adverse Change. To the Company’s knowledge, all material technical information developed by and belonging to the Company which has not been patented has been kept confidential. The Company is not a party to or bound by any options, licenses or agreements with respect to the Intellectual Property Rights of any other person or entity that are required to be set forth in the Registration Statement, the Pricing Disclosure Package and the Prospectus and are not described therein. The Registration Statement, the Pricing Disclosure Package and the Prospectus contain in all material respects the same description of the matters set forth in the preceding sentence. None of the technology employed by the Company has been obtained or is being used by the Company in violation of any contractual obligation binding on the Company or, to the Company’s knowledge, any of its officers, directors or employees, or otherwise in violation of the rights of any persons. </w:t>
      </w:r>
    </w:p>
    <w:p>
      <w:pPr>
        <w:pStyle w:val="TextBody"/>
        <w:bidi w:val="0"/>
        <w:spacing w:before="240" w:after="0"/>
        <w:jc w:val="left"/>
        <w:rPr>
          <w:rFonts w:ascii="Times New Roman" w:hAnsi="Times New Roman"/>
          <w:sz w:val="20"/>
        </w:rPr>
      </w:pPr>
      <w:r>
        <w:rPr>
          <w:rFonts w:ascii="Times New Roman" w:hAnsi="Times New Roman"/>
          <w:sz w:val="20"/>
        </w:rPr>
        <w:t xml:space="preserve">To the Company’s knowledge, all licenses for the use of the Intellectual Property described in the Registration Statement, the Pricing Disclosure Package and the Prospectus are in full force and effect in all material respects and are enforceable by the Company and, to the Company’s knowledge, the other parties thereto, in accordance with their terms, except (x) as such enforceability may be limited by bankruptcy, insolvency, reorganization or similar laws affecting creditors’ rights generally, (y) as enforceability of any indemnification or contribution provision may be limited under the federal and state securities laws, and (z) that the remedy of specific performance and injunctive and other forms of equitable relief may be subject to the equitable defenses and to the discretion of the court before which any proceeding therefor may be brought. None of such agreements or instruments has been assigned by the Company, and the Company, has no knowledge, that any other party is in default thereunder and no event has occurred that, with the lapse of time or the giving of notice, or both, would constitute a default thereunder. </w:t>
      </w:r>
    </w:p>
    <w:p>
      <w:pPr>
        <w:pStyle w:val="TextBody"/>
        <w:bidi w:val="0"/>
        <w:spacing w:before="240" w:after="0"/>
        <w:jc w:val="left"/>
        <w:rPr>
          <w:rFonts w:ascii="Times New Roman" w:hAnsi="Times New Roman"/>
          <w:sz w:val="20"/>
        </w:rPr>
      </w:pPr>
      <w:r>
        <w:rPr>
          <w:rFonts w:ascii="Times New Roman" w:hAnsi="Times New Roman"/>
          <w:sz w:val="20"/>
        </w:rPr>
        <w:t xml:space="preserve">2.36 </w:t>
      </w:r>
      <w:r>
        <w:rPr>
          <w:rFonts w:ascii="Times New Roman" w:hAnsi="Times New Roman"/>
          <w:sz w:val="20"/>
          <w:u w:val="single"/>
        </w:rPr>
        <w:t>Taxes</w:t>
      </w:r>
      <w:r>
        <w:rPr>
          <w:rFonts w:ascii="Times New Roman" w:hAnsi="Times New Roman"/>
          <w:sz w:val="20"/>
        </w:rPr>
        <w:t>. Each of the Company and its Subsidiaries has filed all returns (as hereinafter defined) required to be filed with taxing authorities prior to the date hereof or has duly obtained extensions of time for the filing thereof. Each of the Company and its Subsidiaries has paid all taxes (as hereinafter defined) shown as due on such returns that were filed and has paid all taxes imposed on or assessed against the Company or such respective Subsidiary. The provisions for taxes payable, if any, shown on the financial statements filed with or as part of the Registration Statement are sufficient for all accrued and unpaid taxes, whether or not disputed, and for all periods to and including the dates of such consolidated financial statements. Except as disclosed in writing to the Underwriters, (i) no issues have been raised (and are currently pending) by any taxing authority in connection with any of the returns or taxes asserted as due from the Company or its Subsidiaries, and (ii) no waivers of statutes of limitation with respect to the returns or collection of taxes have been given by or requested from the Company or its Subsidiaries. The term “</w:t>
      </w:r>
      <w:r>
        <w:rPr>
          <w:rFonts w:ascii="Times New Roman" w:hAnsi="Times New Roman"/>
          <w:b/>
          <w:sz w:val="20"/>
        </w:rPr>
        <w:t>taxes</w:t>
      </w:r>
      <w:r>
        <w:rPr>
          <w:rFonts w:ascii="Times New Roman" w:hAnsi="Times New Roman"/>
          <w:sz w:val="20"/>
        </w:rPr>
        <w:t>” means all federal, state, local, foreign and other net income, gross income, gross receipts, sales, use, ad valorem, transfer, franchise, profits, license, lease, service, service use, withholding, payroll, employment, excise, severance, stamp, occupation, premium, property, windfall profits, customs, duties or other taxes, fees, assessments or charges of any kind whatever, together with any interest and any penalties, additions to tax or additional amounts with respect thereto. The term “</w:t>
      </w:r>
      <w:r>
        <w:rPr>
          <w:rFonts w:ascii="Times New Roman" w:hAnsi="Times New Roman"/>
          <w:b/>
          <w:sz w:val="20"/>
        </w:rPr>
        <w:t>returns</w:t>
      </w:r>
      <w:r>
        <w:rPr>
          <w:rFonts w:ascii="Times New Roman" w:hAnsi="Times New Roman"/>
          <w:sz w:val="20"/>
        </w:rPr>
        <w:t xml:space="preserve">” means all returns, declarations, reports, statements and other documents required to be filed in respect to taxes. </w:t>
      </w:r>
    </w:p>
    <w:p>
      <w:pPr>
        <w:pStyle w:val="TextBody"/>
        <w:bidi w:val="0"/>
        <w:spacing w:before="240" w:after="0"/>
        <w:jc w:val="left"/>
        <w:rPr>
          <w:rFonts w:ascii="Times New Roman" w:hAnsi="Times New Roman"/>
          <w:sz w:val="20"/>
        </w:rPr>
      </w:pPr>
      <w:r>
        <w:rPr>
          <w:rFonts w:ascii="Times New Roman" w:hAnsi="Times New Roman"/>
          <w:sz w:val="20"/>
        </w:rPr>
        <w:t xml:space="preserve">2.37 </w:t>
      </w:r>
      <w:r>
        <w:rPr>
          <w:rFonts w:ascii="Times New Roman" w:hAnsi="Times New Roman"/>
          <w:sz w:val="20"/>
          <w:u w:val="single"/>
        </w:rPr>
        <w:t>ERISA Compliance</w:t>
      </w:r>
      <w:r>
        <w:rPr>
          <w:rFonts w:ascii="Times New Roman" w:hAnsi="Times New Roman"/>
          <w:sz w:val="20"/>
        </w:rPr>
        <w:t>. The Company and any “</w:t>
      </w:r>
      <w:r>
        <w:rPr>
          <w:rFonts w:ascii="Times New Roman" w:hAnsi="Times New Roman"/>
          <w:b/>
          <w:sz w:val="20"/>
        </w:rPr>
        <w:t>employee benefit plan</w:t>
      </w:r>
      <w:r>
        <w:rPr>
          <w:rFonts w:ascii="Times New Roman" w:hAnsi="Times New Roman"/>
          <w:sz w:val="20"/>
        </w:rPr>
        <w:t>” (as defined under the Employee Retirement Income Security Act of 1974, as amended, and the regulations and published interpretations thereunder (collectively, “</w:t>
      </w:r>
      <w:r>
        <w:rPr>
          <w:rFonts w:ascii="Times New Roman" w:hAnsi="Times New Roman"/>
          <w:b/>
          <w:sz w:val="20"/>
        </w:rPr>
        <w:t>ERISA</w:t>
      </w:r>
      <w:r>
        <w:rPr>
          <w:rFonts w:ascii="Times New Roman" w:hAnsi="Times New Roman"/>
          <w:sz w:val="20"/>
        </w:rPr>
        <w:t>”)) established or maintained by the Company or its “</w:t>
      </w:r>
      <w:r>
        <w:rPr>
          <w:rFonts w:ascii="Times New Roman" w:hAnsi="Times New Roman"/>
          <w:b/>
          <w:sz w:val="20"/>
        </w:rPr>
        <w:t>ERISA Affiliates</w:t>
      </w:r>
      <w:r>
        <w:rPr>
          <w:rFonts w:ascii="Times New Roman" w:hAnsi="Times New Roman"/>
          <w:sz w:val="20"/>
        </w:rPr>
        <w:t>” (as defined below) are in compliance in all material respects with ERISA. “</w:t>
      </w:r>
      <w:r>
        <w:rPr>
          <w:rFonts w:ascii="Times New Roman" w:hAnsi="Times New Roman"/>
          <w:b/>
          <w:sz w:val="20"/>
        </w:rPr>
        <w:t>ERISA Affiliate</w:t>
      </w:r>
      <w:r>
        <w:rPr>
          <w:rFonts w:ascii="Times New Roman" w:hAnsi="Times New Roman"/>
          <w:sz w:val="20"/>
        </w:rPr>
        <w:t xml:space="preserve">” means, with respect to the Company, any member of any group of organizations described in Sections 414(b),(c),(m) or (o) of the Internal Revenue Code 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1986, as amended, and the regulations and published interpretations thereunder (the “</w:t>
      </w:r>
      <w:r>
        <w:rPr>
          <w:rFonts w:ascii="Times New Roman" w:hAnsi="Times New Roman"/>
          <w:b/>
          <w:sz w:val="20"/>
        </w:rPr>
        <w:t>Code</w:t>
      </w:r>
      <w:r>
        <w:rPr>
          <w:rFonts w:ascii="Times New Roman" w:hAnsi="Times New Roman"/>
          <w:sz w:val="20"/>
        </w:rPr>
        <w:t>”) of which the Company is a member. No “</w:t>
      </w:r>
      <w:r>
        <w:rPr>
          <w:rFonts w:ascii="Times New Roman" w:hAnsi="Times New Roman"/>
          <w:b/>
          <w:sz w:val="20"/>
        </w:rPr>
        <w:t>reportable event</w:t>
      </w:r>
      <w:r>
        <w:rPr>
          <w:rFonts w:ascii="Times New Roman" w:hAnsi="Times New Roman"/>
          <w:sz w:val="20"/>
        </w:rPr>
        <w:t>” (as defined under ERISA) has occurred or is reasonably expected to occur with respect to any “employee benefit plan” established or maintained by the Company or any of its ERISA Affiliates. No “employee benefit plan” established or maintained by the Company or any of its ERISA Affiliates, if such “employee benefit plan” were terminated, would have any “</w:t>
      </w:r>
      <w:r>
        <w:rPr>
          <w:rFonts w:ascii="Times New Roman" w:hAnsi="Times New Roman"/>
          <w:b/>
          <w:sz w:val="20"/>
        </w:rPr>
        <w:t>amount of unfunded benefit liabilities</w:t>
      </w:r>
      <w:r>
        <w:rPr>
          <w:rFonts w:ascii="Times New Roman" w:hAnsi="Times New Roman"/>
          <w:sz w:val="20"/>
        </w:rPr>
        <w:t xml:space="preserve">” (as defined under ERISA). Neither the Company nor any of its ERISA Affiliates has incurred or reasonably expects to incur any material liability under (i) Title IV of ERISA with respect to termination of, or withdrawal from, any “employee benefit plan” or (ii) Sections 412, 4971, 4975 or 4980B of the Code. Each “employee benefit plan” established or maintained by the Company or any of its ERISA Affiliates that is intended to be qualified under Section 401(a) of the Code is so qualified and, to the knowledge of the Company, nothing has occurred, whether by action or failure to act, which would cause the loss of such qualification. </w:t>
      </w:r>
    </w:p>
    <w:p>
      <w:pPr>
        <w:pStyle w:val="TextBody"/>
        <w:bidi w:val="0"/>
        <w:spacing w:before="240" w:after="0"/>
        <w:jc w:val="left"/>
        <w:rPr>
          <w:rFonts w:ascii="Times New Roman" w:hAnsi="Times New Roman"/>
          <w:sz w:val="20"/>
        </w:rPr>
      </w:pPr>
      <w:r>
        <w:rPr>
          <w:rFonts w:ascii="Times New Roman" w:hAnsi="Times New Roman"/>
          <w:sz w:val="20"/>
        </w:rPr>
        <w:t xml:space="preserve">2.38 </w:t>
      </w:r>
      <w:r>
        <w:rPr>
          <w:rFonts w:ascii="Times New Roman" w:hAnsi="Times New Roman"/>
          <w:sz w:val="20"/>
          <w:u w:val="single"/>
        </w:rPr>
        <w:t>Compliance with Laws</w:t>
      </w:r>
      <w:r>
        <w:rPr>
          <w:rFonts w:ascii="Times New Roman" w:hAnsi="Times New Roman"/>
          <w:sz w:val="20"/>
        </w:rPr>
        <w:t>. The Company: (A) is and at all times has been in material compliance with all statutes, rules, regulations, ordinances, judgments, orders and decrees of all Governmental Entities applicable to the Company’s business (“</w:t>
      </w:r>
      <w:r>
        <w:rPr>
          <w:rFonts w:ascii="Times New Roman" w:hAnsi="Times New Roman"/>
          <w:b/>
          <w:sz w:val="20"/>
        </w:rPr>
        <w:t>Applicable Laws</w:t>
      </w:r>
      <w:r>
        <w:rPr>
          <w:rFonts w:ascii="Times New Roman" w:hAnsi="Times New Roman"/>
          <w:sz w:val="20"/>
        </w:rPr>
        <w:t>”); (B) has not received any warning letter, untitled letter or other correspondence or notice from any other Governmental Entity alleging or asserting noncompliance with any Applicable Laws or any licenses, certificates, approvals, clearances, authorizations, consents, permits and supplements or amendments thereto required by any such Applicable Laws (“</w:t>
      </w:r>
      <w:r>
        <w:rPr>
          <w:rFonts w:ascii="Times New Roman" w:hAnsi="Times New Roman"/>
          <w:b/>
          <w:sz w:val="20"/>
        </w:rPr>
        <w:t>Authorizations</w:t>
      </w:r>
      <w:r>
        <w:rPr>
          <w:rFonts w:ascii="Times New Roman" w:hAnsi="Times New Roman"/>
          <w:sz w:val="20"/>
        </w:rPr>
        <w:t xml:space="preserve">”); (C) possesses all material Authorizations and such Authorizations are valid and in full force and effect and are not in material violation of any term of any such Authorizations; (D) has not received notice of any claim, action, suit, litigation, proceeding, hearing, enforcement, investigation, inquiry, arbitration or other action from any Governmental Entity or third party alleging that any product operation or activity is in violation of any Applicable Laws or Authorizations and has no knowledge that any such Governmental Entity or third party is considering any such claim, litigation, arbitration, action, suit, litigation, proceeding, hearing, enforcement, investigation, inquiry, arbitration or other action; (E) has not received notice that any Governmental Entity has taken, is taking or intends to take action to limit, suspend, modify or revoke any Authorizations and has no knowledge that any such governmental authority is considering such action; (F) has filed, obtained, maintained or submitted all material reports, documents, forms, filings, notices, applications, records, claims, submissions and supplements or amendments as required by any Applicable Laws or Authorizations and that all such reports, documents, forms, notices, applications, records, claims, submissions and supplements or amendments were complete and correct on the date filed (or were corrected or supplemented by a subsequent submission); and (G) has not, either voluntarily or involuntarily, initiated, conducted, or issued or caused to be initiated, conducted or issued, any recall, market withdrawal or replacement, safety alert, post-sale warning, “dear doctor” letter, or other notice or action relating to the alleged lack of safety or efficacy of any product or any alleged product defect or violation and, to the Company’s knowledge, no third party has initiated, conducted or intends to initiate any such notice or action. </w:t>
      </w:r>
    </w:p>
    <w:p>
      <w:pPr>
        <w:pStyle w:val="TextBody"/>
        <w:bidi w:val="0"/>
        <w:spacing w:before="240" w:after="0"/>
        <w:jc w:val="left"/>
        <w:rPr>
          <w:rFonts w:ascii="Times New Roman" w:hAnsi="Times New Roman"/>
          <w:sz w:val="20"/>
        </w:rPr>
      </w:pPr>
      <w:r>
        <w:rPr>
          <w:rFonts w:ascii="Times New Roman" w:hAnsi="Times New Roman"/>
          <w:sz w:val="20"/>
        </w:rPr>
        <w:t xml:space="preserve">2.39 </w:t>
      </w:r>
      <w:r>
        <w:rPr>
          <w:rFonts w:ascii="Times New Roman" w:hAnsi="Times New Roman"/>
          <w:sz w:val="20"/>
          <w:u w:val="single"/>
        </w:rPr>
        <w:t>Clinical Data and Regulatory Compliance</w:t>
      </w:r>
      <w:r>
        <w:rPr>
          <w:rFonts w:ascii="Times New Roman" w:hAnsi="Times New Roman"/>
          <w:sz w:val="20"/>
        </w:rPr>
        <w:t>. The preclinical tests and clinical trials, and other studies conducted by or on behalf of the Company (collectively, “</w:t>
      </w:r>
      <w:r>
        <w:rPr>
          <w:rFonts w:ascii="Times New Roman" w:hAnsi="Times New Roman"/>
          <w:b/>
          <w:sz w:val="20"/>
        </w:rPr>
        <w:t>studies</w:t>
      </w:r>
      <w:r>
        <w:rPr>
          <w:rFonts w:ascii="Times New Roman" w:hAnsi="Times New Roman"/>
          <w:sz w:val="20"/>
        </w:rPr>
        <w:t xml:space="preserve">”) that are described in, or the results of which are referred to in, Registration Statement, the Pricing Disclosure Package or the Prospectus were and, if still pending, are being conducted in all material respects in accordance with applicable laws, rules, regulations and policies of the Food and Drug Administration of the U.S. Department of Health and Human Services or any committee thereof or of any other U.S. or foreign government or drug regulatory agency, or health care facility Institutional Review Board; each description of the results of such studies is accurate and complete in all material respects and fairly presents the data derived from such studies, and the Company and its subsidiaries have no knowledge of any other studies the results of which are materially inconsistent with, or otherwise call into question, the results described or referred to in the Registration Statement, the Pricing Disclosure Package or the Prospectus; for such studies that have been or are being conducted, the Company and its subsidiaries have made all such filings and obtained all such approvals as may be required by foreign government or drug or medical device regulatory agencies, or foreign health care facility Institutional Review Boards; and no investigational new drug application filed by or on behalf of the Company or any of its subsidiaries with the FDA has been terminated or suspended by the FDA, and neither the FDA nor any applicable foreign regulatory agency has commenced, or, to the knowledge of the Company, threatened to initiate, any action to place a clinical hold order on, or otherwise terminate, delay or suspend, any proposed or ongoing studies conducted or proposed to be conducted by or on behalf of the Company or any of its subsidiaries.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2.40 </w:t>
      </w:r>
      <w:r>
        <w:rPr>
          <w:rFonts w:ascii="Times New Roman" w:hAnsi="Times New Roman"/>
          <w:sz w:val="20"/>
          <w:u w:val="single"/>
        </w:rPr>
        <w:t>Regulatory Compliance</w:t>
      </w:r>
      <w:r>
        <w:rPr>
          <w:rFonts w:ascii="Times New Roman" w:hAnsi="Times New Roman"/>
          <w:sz w:val="20"/>
        </w:rPr>
        <w:t>. Except as disclosed in the Registration Statement, the Pricing Disclosure Package and the Prospectus, the Company is, and at all times since inception has been, in compliance with all applicable Health Care Laws, and has not engaged in activities which are, as applicable, cause for false claims liability, civil penalties, or mandatory or permissive exclusion from Medicare, Medicaid, or any other state health care program or federal health care program. The Company is not a party to any corporate integrity agreements, monitoring agreements, consent decrees, settlement orders, or similar agreements with or imposed by any governmental authority regarding any alleged non-compliance with applicable Health Care Laws. In addition, none of the Company or, to the Company’s knowledge, any of its directors, officers, employees or agents is or has been debarred, suspended or excluded, or has been convicted of any crime or engaged in any conduct that would result in a debarment, suspension or exclusion from any federal or state government health care program or human clinical research, or is subject to any inquiry, investigation, proceeding, or other similar action by a governmental authority that could reasonably be expected to result in any such debarment, suspension, or exclusion. For purposes of this Agreement, “</w:t>
      </w:r>
      <w:r>
        <w:rPr>
          <w:rFonts w:ascii="Times New Roman" w:hAnsi="Times New Roman"/>
          <w:b/>
          <w:sz w:val="20"/>
        </w:rPr>
        <w:t>Health Care Laws</w:t>
      </w:r>
      <w:r>
        <w:rPr>
          <w:rFonts w:ascii="Times New Roman" w:hAnsi="Times New Roman"/>
          <w:sz w:val="20"/>
        </w:rPr>
        <w:t xml:space="preserve">” means: the federal Food, Drug and Cosmetic Act (21 U.S.C. § 301 et seq.), the federal Anti-Kickback Statute (42 U.S.C. § 1320a-7b(b)), the civil False Claims Act (31 U.S.C. § 3729-3733), the federal False Statements Law (42 U.S.C. § 1320a-7b(a)), the Civil Monetary Penalties Law (42 U.S.C. §1320a-7a), all criminal laws relating to health care fraud and abuse, including, but not limited, to 18 U.S.C. §§ 286 and 287, the exclusions law (42 U.S.C. § 1320a-7), the statutes, regulations and directives of Medicare (Title XVIII of the Social Security Act), Medicaid (Title XIX of the Social Security Act) and all other government funded or sponsored healthcare programs, the Health Insurance Portability and Accountability Act of 1996 (42 U.S.C. § 1320d et seq.), as amended by the Health Information Technology for Economic and Clinical Health Act of 2009 (42 U.S.C. §17921 et seq.), the regulations promulgated pursuant to such laws, and all other comparable local, state, federal, national, and foreign laws relating to the regulation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2.41 </w:t>
      </w:r>
      <w:r>
        <w:rPr>
          <w:rFonts w:ascii="Times New Roman" w:hAnsi="Times New Roman"/>
          <w:sz w:val="20"/>
          <w:u w:val="single"/>
        </w:rPr>
        <w:t>Licenses and Permits</w:t>
      </w:r>
      <w:r>
        <w:rPr>
          <w:rFonts w:ascii="Times New Roman" w:hAnsi="Times New Roman"/>
          <w:sz w:val="20"/>
        </w:rPr>
        <w:t>. (i) The Company and its subsidiaries possess such valid and current certificates, authorizations, approvals, licenses and permits (collectively, “</w:t>
      </w:r>
      <w:r>
        <w:rPr>
          <w:rFonts w:ascii="Times New Roman" w:hAnsi="Times New Roman"/>
          <w:b/>
          <w:sz w:val="20"/>
        </w:rPr>
        <w:t>Authorizations</w:t>
      </w:r>
      <w:r>
        <w:rPr>
          <w:rFonts w:ascii="Times New Roman" w:hAnsi="Times New Roman"/>
          <w:sz w:val="20"/>
        </w:rPr>
        <w:t xml:space="preserve">”) issued by, and have made all declarations, amendments, supplements and filings with, the appropriate state, federal or foreign regulatory agencies or bodies necessary to own, lease and operate their respective properties and to conduct their respective businesses as set forth in the Registration Statement, the Pricing Disclosure Package and the Prospectus; (ii) all such Authorizations are valid and in full force and effect and the Company and its subsidiaries are in compliance with the terms and conditions of all such Authorizations; and (iii) neither the Company nor any of its subsidiaries has received notice of any revocation, termination or modification of, or non-compliance with, any such Authorization or has any reason to believe that any such Authorization will not be renewed in the ordinary course, except where, in the case of clauses (i), (ii) and (iii), the failure to possess, make or obtain such Authorizations (by possession, declaration or filing) would not, individually or in the aggregate, result in a Material Adverse Change. </w:t>
      </w:r>
    </w:p>
    <w:p>
      <w:pPr>
        <w:pStyle w:val="TextBody"/>
        <w:bidi w:val="0"/>
        <w:spacing w:before="240" w:after="0"/>
        <w:jc w:val="left"/>
        <w:rPr>
          <w:rFonts w:ascii="Times New Roman" w:hAnsi="Times New Roman"/>
          <w:sz w:val="20"/>
        </w:rPr>
      </w:pPr>
      <w:r>
        <w:rPr>
          <w:rFonts w:ascii="Times New Roman" w:hAnsi="Times New Roman"/>
          <w:sz w:val="20"/>
        </w:rPr>
        <w:t xml:space="preserve">2.42 </w:t>
      </w:r>
      <w:r>
        <w:rPr>
          <w:rFonts w:ascii="Times New Roman" w:hAnsi="Times New Roman"/>
          <w:sz w:val="20"/>
          <w:u w:val="single"/>
        </w:rPr>
        <w:t>Ineligible Issuer</w:t>
      </w:r>
      <w:r>
        <w:rPr>
          <w:rFonts w:ascii="Times New Roman" w:hAnsi="Times New Roman"/>
          <w:sz w:val="20"/>
        </w:rPr>
        <w:t>. At the time of filing the Registration Statement and any post-effective amendment thereto, at the time of effectiveness of the Registration Statement and any amendment thereto, at the earliest time thereafter that the Company or another offering participant made a bona fide offer (within the meaning of Rule 164(h)(2) of the Securities Act Regulations) of the Public Securities and at the date hereof, the Company was not and is not an “</w:t>
      </w:r>
      <w:r>
        <w:rPr>
          <w:rFonts w:ascii="Times New Roman" w:hAnsi="Times New Roman"/>
          <w:b/>
          <w:sz w:val="20"/>
        </w:rPr>
        <w:t>ineligible issuer</w:t>
      </w:r>
      <w:r>
        <w:rPr>
          <w:rFonts w:ascii="Times New Roman" w:hAnsi="Times New Roman"/>
          <w:sz w:val="20"/>
        </w:rPr>
        <w:t xml:space="preserve">”, as defined in Rule 405, without taking account of any determination by the Commission pursuant to Rule 405 that it is not necessary that the Company be considered an ineligible issuer. </w:t>
      </w:r>
    </w:p>
    <w:p>
      <w:pPr>
        <w:pStyle w:val="TextBody"/>
        <w:bidi w:val="0"/>
        <w:spacing w:before="240" w:after="0"/>
        <w:jc w:val="left"/>
        <w:rPr>
          <w:rFonts w:ascii="Times New Roman" w:hAnsi="Times New Roman"/>
          <w:sz w:val="20"/>
        </w:rPr>
      </w:pPr>
      <w:r>
        <w:rPr>
          <w:rFonts w:ascii="Times New Roman" w:hAnsi="Times New Roman"/>
          <w:sz w:val="20"/>
        </w:rPr>
        <w:t xml:space="preserve">2.43 </w:t>
      </w:r>
      <w:r>
        <w:rPr>
          <w:rFonts w:ascii="Times New Roman" w:hAnsi="Times New Roman"/>
          <w:sz w:val="20"/>
          <w:u w:val="single"/>
        </w:rPr>
        <w:t>Environmental Laws</w:t>
      </w:r>
      <w:r>
        <w:rPr>
          <w:rFonts w:ascii="Times New Roman" w:hAnsi="Times New Roman"/>
          <w:sz w:val="20"/>
        </w:rPr>
        <w:t>. The Company is in material compliance with all foreign, federal, state and local rules, laws and regulations relating to the use, treatment, storage and disposal of hazardous or toxic substances or waste and protection of health and safety or the environment which are applicable to their businesses (“</w:t>
      </w:r>
      <w:r>
        <w:rPr>
          <w:rFonts w:ascii="Times New Roman" w:hAnsi="Times New Roman"/>
          <w:b/>
          <w:sz w:val="20"/>
        </w:rPr>
        <w:t>Environmental Laws</w:t>
      </w:r>
      <w:r>
        <w:rPr>
          <w:rFonts w:ascii="Times New Roman" w:hAnsi="Times New Roman"/>
          <w:sz w:val="20"/>
        </w:rPr>
        <w:t xml:space="preserve">”). There has been no storage, generation, transportation, handling, treatment, disposal, discharge, emission, or other release of any kind of toxic or other wastes or other hazardous substances by, due to, or caused by the Company (or, to the Company’s knowledge, any other entity for whose acts or omissions the Company is or may otherwise be liable) upon any of the property now or previously owned or leased by the Company, or upon any other property, in violation of any law, statute, ordinance, rule, regulation, order, judgment, decree or permit or which would, under any law, statute, ordinance, rule (including rule of common law), regulation, order, judgment, decree or permit, give rise to any liability; and there has been no disposal, discharge, emission or other release of any kind onto such property or into the environment surrounding such property of any toxic or other wastes or other hazardous substances with respect to which the Company has knowledge.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2.44 </w:t>
      </w:r>
      <w:r>
        <w:rPr>
          <w:rFonts w:ascii="Times New Roman" w:hAnsi="Times New Roman"/>
          <w:sz w:val="20"/>
          <w:u w:val="single"/>
        </w:rPr>
        <w:t>Real Property</w:t>
      </w:r>
      <w:r>
        <w:rPr>
          <w:rFonts w:ascii="Times New Roman" w:hAnsi="Times New Roman"/>
          <w:sz w:val="20"/>
        </w:rPr>
        <w:t xml:space="preserve">. Except as set forth in the Registration Statement, the Pricing Disclosure Package and the Prospectus, the Company and its Subsidiaries have good and marketable title in fee simple to, or have valid rights to lease or otherwise use, all items of real or personal property which are material to the business of the Company and its Subsidiaries taken as a whole, in each case free and clear of all liens, encumbrances, security interests, claims and defects that do not, singly or in the aggregate, materially affect the value of such property and do not interfere with the use made and proposed to be made of such property by the Company or its Subsidiaries; and all of the leases and subleases material to the business of the Company and its subsidiaries, considered as one enterprise, and under which the Company or any of its Subsidiaries holds properties described in the Registration Statement, the Pricing Disclosure Package and the Prospectus, are in full force and effect, and neither the Company nor any Subsidiary has received any notice of any material claim of any sort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 </w:t>
      </w:r>
    </w:p>
    <w:p>
      <w:pPr>
        <w:pStyle w:val="TextBody"/>
        <w:bidi w:val="0"/>
        <w:spacing w:before="240" w:after="0"/>
        <w:jc w:val="left"/>
        <w:rPr>
          <w:rFonts w:ascii="Times New Roman" w:hAnsi="Times New Roman"/>
          <w:sz w:val="20"/>
        </w:rPr>
      </w:pPr>
      <w:r>
        <w:rPr>
          <w:rFonts w:ascii="Times New Roman" w:hAnsi="Times New Roman"/>
          <w:sz w:val="20"/>
        </w:rPr>
        <w:t xml:space="preserve">2.45 </w:t>
      </w:r>
      <w:r>
        <w:rPr>
          <w:rFonts w:ascii="Times New Roman" w:hAnsi="Times New Roman"/>
          <w:sz w:val="20"/>
          <w:u w:val="single"/>
        </w:rPr>
        <w:t>Contracts Affecting Capital</w:t>
      </w:r>
      <w:r>
        <w:rPr>
          <w:rFonts w:ascii="Times New Roman" w:hAnsi="Times New Roman"/>
          <w:sz w:val="20"/>
        </w:rPr>
        <w:t xml:space="preserve">. There are no transactions, arrangements or other relationships between and/or among the Company, any of its affiliates (as such term is defined in Rule 405 of the Securities Act Regulations) and any unconsolidated entity, including, but not limited to, any structured finance, special purpose or limited purpose entity that could reasonably be expected to materially affect the Company’s or its Subsidiaries’ liquidity or the availability of or requirements for their capital resources required to be described or incorporated by reference in the Registration Statement, the Pricing Disclosure Package and the Prospectus which have not been described or incorporated by reference as required. </w:t>
      </w:r>
    </w:p>
    <w:p>
      <w:pPr>
        <w:pStyle w:val="TextBody"/>
        <w:bidi w:val="0"/>
        <w:spacing w:before="240" w:after="0"/>
        <w:jc w:val="left"/>
        <w:rPr>
          <w:rFonts w:ascii="Times New Roman" w:hAnsi="Times New Roman"/>
          <w:sz w:val="20"/>
        </w:rPr>
      </w:pPr>
      <w:r>
        <w:rPr>
          <w:rFonts w:ascii="Times New Roman" w:hAnsi="Times New Roman"/>
          <w:sz w:val="20"/>
        </w:rPr>
        <w:t xml:space="preserve">2.46 </w:t>
      </w:r>
      <w:r>
        <w:rPr>
          <w:rFonts w:ascii="Times New Roman" w:hAnsi="Times New Roman"/>
          <w:sz w:val="20"/>
          <w:u w:val="single"/>
        </w:rPr>
        <w:t>Loans to Directors or Officers</w:t>
      </w:r>
      <w:r>
        <w:rPr>
          <w:rFonts w:ascii="Times New Roman" w:hAnsi="Times New Roman"/>
          <w:sz w:val="20"/>
        </w:rPr>
        <w:t xml:space="preserve">. There are no outstanding loans, advances (except normal advances for business expenses in the ordinary course of business) or guarantees or indebtedness by the Company or its Subsidiaries to or for the benefit of any of the officers or directors of the Company, its Subsidiaries or any of their respective family members, except as disclosed in the Registration Statement, the Pricing Disclosure Package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2.47 </w:t>
      </w:r>
      <w:r>
        <w:rPr>
          <w:rFonts w:ascii="Times New Roman" w:hAnsi="Times New Roman"/>
          <w:sz w:val="20"/>
          <w:u w:val="single"/>
        </w:rPr>
        <w:t>Smaller Reporting Company</w:t>
      </w:r>
      <w:r>
        <w:rPr>
          <w:rFonts w:ascii="Times New Roman" w:hAnsi="Times New Roman"/>
          <w:sz w:val="20"/>
        </w:rPr>
        <w:t>. As of the time of filing of the Registration Statement, the Company was a “</w:t>
      </w:r>
      <w:r>
        <w:rPr>
          <w:rFonts w:ascii="Times New Roman" w:hAnsi="Times New Roman"/>
          <w:b/>
          <w:sz w:val="20"/>
        </w:rPr>
        <w:t>smaller reporting company</w:t>
      </w:r>
      <w:r>
        <w:rPr>
          <w:rFonts w:ascii="Times New Roman" w:hAnsi="Times New Roman"/>
          <w:sz w:val="20"/>
        </w:rPr>
        <w:t xml:space="preserve">”, as defined in Rule 12b-2 of the Exchange Act Regulations. </w:t>
      </w:r>
    </w:p>
    <w:p>
      <w:pPr>
        <w:pStyle w:val="TextBody"/>
        <w:bidi w:val="0"/>
        <w:spacing w:before="240" w:after="0"/>
        <w:jc w:val="left"/>
        <w:rPr>
          <w:rFonts w:ascii="Times New Roman" w:hAnsi="Times New Roman"/>
          <w:sz w:val="20"/>
        </w:rPr>
      </w:pPr>
      <w:r>
        <w:rPr>
          <w:rFonts w:ascii="Times New Roman" w:hAnsi="Times New Roman"/>
          <w:sz w:val="20"/>
        </w:rPr>
        <w:t xml:space="preserve">2.48 </w:t>
      </w:r>
      <w:r>
        <w:rPr>
          <w:rFonts w:ascii="Times New Roman" w:hAnsi="Times New Roman"/>
          <w:sz w:val="20"/>
          <w:u w:val="single"/>
        </w:rPr>
        <w:t>Industry Data</w:t>
      </w:r>
      <w:r>
        <w:rPr>
          <w:rFonts w:ascii="Times New Roman" w:hAnsi="Times New Roman"/>
          <w:sz w:val="20"/>
        </w:rPr>
        <w:t>. The statistical and market-related data included in each of the Registration Statement, the Pricing Disclosure Package and the Prospectus are based on or derived from sources that the Company reasonably and in good faith believes are reliable and accurate or represent the Company’s good faith estimates that are made on the basis of data derived from such sources.</w:t>
      </w:r>
    </w:p>
    <w:p>
      <w:pPr>
        <w:pStyle w:val="TextBody"/>
        <w:bidi w:val="0"/>
        <w:spacing w:before="240" w:after="0"/>
        <w:jc w:val="left"/>
        <w:rPr>
          <w:rFonts w:ascii="Times New Roman" w:hAnsi="Times New Roman"/>
          <w:sz w:val="20"/>
        </w:rPr>
      </w:pPr>
      <w:r>
        <w:rPr>
          <w:rFonts w:ascii="Times New Roman" w:hAnsi="Times New Roman"/>
          <w:sz w:val="20"/>
        </w:rPr>
        <w:t xml:space="preserve">2.49 </w:t>
      </w:r>
      <w:r>
        <w:rPr>
          <w:rFonts w:ascii="Times New Roman" w:hAnsi="Times New Roman"/>
          <w:sz w:val="20"/>
          <w:u w:val="single"/>
        </w:rPr>
        <w:t>Minute Books</w:t>
      </w:r>
      <w:r>
        <w:rPr>
          <w:rFonts w:ascii="Times New Roman" w:hAnsi="Times New Roman"/>
          <w:sz w:val="20"/>
        </w:rPr>
        <w:t xml:space="preserve">. The minute books of the Company have been made available to the Underwriters and counsel for the Underwriters, and such books (i) contain a complete summary of all meetings and actions of the board of directors (including each board committee) and stockholders of the Company (or analogous governing bodies and interest holders, as applicable), and each of its Subsidiaries since the time of its respective incorporation or organization through the date of the latest meeting and action, and (ii) accurately in all material respects reflect all transactions referred to in such minutes. There are no material transactions, agreements, dispositions or other actions of the Company that are not properly approved and/or accurately and fairly recorded in the minute books of the Company, as applicable. </w:t>
      </w:r>
    </w:p>
    <w:p>
      <w:pPr>
        <w:pStyle w:val="TextBody"/>
        <w:bidi w:val="0"/>
        <w:spacing w:before="240" w:after="0"/>
        <w:jc w:val="left"/>
        <w:rPr>
          <w:rFonts w:ascii="Times New Roman" w:hAnsi="Times New Roman"/>
          <w:sz w:val="20"/>
        </w:rPr>
      </w:pPr>
      <w:r>
        <w:rPr>
          <w:rFonts w:ascii="Times New Roman" w:hAnsi="Times New Roman"/>
          <w:sz w:val="20"/>
        </w:rPr>
        <w:t xml:space="preserve">2.50 </w:t>
      </w:r>
      <w:r>
        <w:rPr>
          <w:rFonts w:ascii="Times New Roman" w:hAnsi="Times New Roman"/>
          <w:sz w:val="20"/>
          <w:u w:val="single"/>
        </w:rPr>
        <w:t>Integration</w:t>
      </w:r>
      <w:r>
        <w:rPr>
          <w:rFonts w:ascii="Times New Roman" w:hAnsi="Times New Roman"/>
          <w:sz w:val="20"/>
        </w:rPr>
        <w:t xml:space="preserve">. Neither the Company, nor any of its affiliates, nor any person acting on its or their behalf has, directly or indirectly, made any offers or sales of any security or solicited any offers to buy any security, under circumstances that would cause the Offering to be integrated with prior offerings by the Company for purposes of the Securities Act that would require the registration of any such securities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2.51 </w:t>
      </w:r>
      <w:r>
        <w:rPr>
          <w:rFonts w:ascii="Times New Roman" w:hAnsi="Times New Roman"/>
          <w:sz w:val="20"/>
          <w:u w:val="single"/>
        </w:rPr>
        <w:t>No Stabilization</w:t>
      </w:r>
      <w:r>
        <w:rPr>
          <w:rFonts w:ascii="Times New Roman" w:hAnsi="Times New Roman"/>
          <w:sz w:val="20"/>
        </w:rPr>
        <w:t xml:space="preserve">. Neither the Company nor, to its knowledge, any of its employees, directors or stockholders (without the consent of the Representative) has taken or shall take, directly or indirectly, any action designed to or that has constituted or that might reasonably be expected to cause or result in, under Regulation M of the Exchange Act, or otherwise, stabilization or manipulation of the price of any security of the Company to facilitate the sale or resale of the Public Securities. </w:t>
      </w:r>
    </w:p>
    <w:p>
      <w:pPr>
        <w:pStyle w:val="TextBody"/>
        <w:bidi w:val="0"/>
        <w:spacing w:before="240" w:after="0"/>
        <w:jc w:val="left"/>
        <w:rPr>
          <w:rFonts w:ascii="Times New Roman" w:hAnsi="Times New Roman"/>
          <w:sz w:val="20"/>
        </w:rPr>
      </w:pPr>
      <w:r>
        <w:rPr>
          <w:rFonts w:ascii="Times New Roman" w:hAnsi="Times New Roman"/>
          <w:sz w:val="20"/>
        </w:rPr>
        <w:t xml:space="preserve">2.52 </w:t>
      </w:r>
      <w:r>
        <w:rPr>
          <w:rFonts w:ascii="Times New Roman" w:hAnsi="Times New Roman"/>
          <w:sz w:val="20"/>
          <w:u w:val="single"/>
        </w:rPr>
        <w:t>Confidentiality and Non-Competition</w:t>
      </w:r>
      <w:r>
        <w:rPr>
          <w:rFonts w:ascii="Times New Roman" w:hAnsi="Times New Roman"/>
          <w:sz w:val="20"/>
        </w:rPr>
        <w:t xml:space="preserve">. To the Company’s knowledge, no director, officer, key employee or consultant of the Company is subject to any confidentiality, non-disclosure, non-competition agreement or non-solicitation agreement with any employer or prior employer that could reasonably be expected to materially affect his ability to be and act in his respective capacity of the Company or be expected to result in a Material Adverse Change.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2.53 </w:t>
      </w:r>
      <w:r>
        <w:rPr>
          <w:rFonts w:ascii="Times New Roman" w:hAnsi="Times New Roman"/>
          <w:sz w:val="20"/>
          <w:u w:val="single"/>
        </w:rPr>
        <w:t>Electronic Road Show</w:t>
      </w:r>
      <w:r>
        <w:rPr>
          <w:rFonts w:ascii="Times New Roman" w:hAnsi="Times New Roman"/>
          <w:sz w:val="20"/>
        </w:rPr>
        <w:t>. The Company has made available a Bona Fide Electronic Road Show in compliance with Rule 433(d)(8)(ii) of the Securities Act Regulations such that no filing of any “</w:t>
      </w:r>
      <w:r>
        <w:rPr>
          <w:rFonts w:ascii="Times New Roman" w:hAnsi="Times New Roman"/>
          <w:b/>
          <w:sz w:val="20"/>
        </w:rPr>
        <w:t>road show</w:t>
      </w:r>
      <w:r>
        <w:rPr>
          <w:rFonts w:ascii="Times New Roman" w:hAnsi="Times New Roman"/>
          <w:sz w:val="20"/>
        </w:rPr>
        <w:t xml:space="preserve">” (as defined in Rule 433(h) of the Securities Act Regulations) is required in connection with the Offering. </w:t>
      </w:r>
    </w:p>
    <w:p>
      <w:pPr>
        <w:pStyle w:val="TextBody"/>
        <w:bidi w:val="0"/>
        <w:spacing w:before="240" w:after="0"/>
        <w:jc w:val="left"/>
        <w:rPr>
          <w:rFonts w:ascii="Times New Roman" w:hAnsi="Times New Roman"/>
          <w:sz w:val="20"/>
        </w:rPr>
      </w:pPr>
      <w:r>
        <w:rPr>
          <w:rFonts w:ascii="Times New Roman" w:hAnsi="Times New Roman"/>
          <w:sz w:val="20"/>
        </w:rPr>
        <w:t xml:space="preserve">2.54 </w:t>
      </w:r>
      <w:r>
        <w:rPr>
          <w:rFonts w:ascii="Times New Roman" w:hAnsi="Times New Roman"/>
          <w:sz w:val="20"/>
          <w:u w:val="single"/>
        </w:rPr>
        <w:t>Margin Securities</w:t>
      </w:r>
      <w:r>
        <w:rPr>
          <w:rFonts w:ascii="Times New Roman" w:hAnsi="Times New Roman"/>
          <w:sz w:val="20"/>
        </w:rPr>
        <w:t>. The Company owns no “</w:t>
      </w:r>
      <w:r>
        <w:rPr>
          <w:rFonts w:ascii="Times New Roman" w:hAnsi="Times New Roman"/>
          <w:b/>
          <w:sz w:val="20"/>
        </w:rPr>
        <w:t>margin securities</w:t>
      </w:r>
      <w:r>
        <w:rPr>
          <w:rFonts w:ascii="Times New Roman" w:hAnsi="Times New Roman"/>
          <w:sz w:val="20"/>
        </w:rPr>
        <w:t>” as that term is defined in Regulation U of the Board of Governors of the Federal Reserve System (the “</w:t>
      </w:r>
      <w:r>
        <w:rPr>
          <w:rFonts w:ascii="Times New Roman" w:hAnsi="Times New Roman"/>
          <w:b/>
          <w:sz w:val="20"/>
        </w:rPr>
        <w:t>Federal Reserve Board</w:t>
      </w:r>
      <w:r>
        <w:rPr>
          <w:rFonts w:ascii="Times New Roman" w:hAnsi="Times New Roman"/>
          <w:sz w:val="20"/>
        </w:rPr>
        <w:t>”), and none of the proceeds of Offering will be used, directly or indirectly, for the purpose of purchasing or carrying any margin security, for the purpose of reducing or retiring any indebtedness which was originally incurred to purchase or carry any margin security or for any other purpose which might cause any of the shares of Common Stock to be considered a “</w:t>
      </w:r>
      <w:r>
        <w:rPr>
          <w:rFonts w:ascii="Times New Roman" w:hAnsi="Times New Roman"/>
          <w:b/>
          <w:sz w:val="20"/>
        </w:rPr>
        <w:t>purpose credit</w:t>
      </w:r>
      <w:r>
        <w:rPr>
          <w:rFonts w:ascii="Times New Roman" w:hAnsi="Times New Roman"/>
          <w:sz w:val="20"/>
        </w:rPr>
        <w:t xml:space="preserve">” within the meanings of Regulation T, U or X of the Federal Reserve Board.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Covenants of the Company</w:t>
      </w:r>
      <w:r>
        <w:rPr>
          <w:rFonts w:ascii="Times New Roman" w:hAnsi="Times New Roman"/>
          <w:sz w:val="20"/>
        </w:rPr>
        <w:t xml:space="preserve">. The Company covenants and agrees as follows: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Amendments to Registration Statement</w:t>
      </w:r>
      <w:r>
        <w:rPr>
          <w:rFonts w:ascii="Times New Roman" w:hAnsi="Times New Roman"/>
          <w:sz w:val="20"/>
        </w:rPr>
        <w:t xml:space="preserve">. The Company shall deliver to the Representative, prior to filing, any amendment or supplement to the Registration Statement or Prospectus proposed to be filed after the Effective Date and not file any such amendment or supplement to which the Representative shall reasonably object in writing.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Federal Securities 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3.2.1. </w:t>
      </w:r>
      <w:r>
        <w:rPr>
          <w:rFonts w:ascii="Times New Roman" w:hAnsi="Times New Roman"/>
          <w:sz w:val="20"/>
          <w:u w:val="single"/>
        </w:rPr>
        <w:t>Compliance</w:t>
      </w:r>
      <w:r>
        <w:rPr>
          <w:rFonts w:ascii="Times New Roman" w:hAnsi="Times New Roman"/>
          <w:sz w:val="20"/>
        </w:rPr>
        <w:t xml:space="preserve">. The Company, subject to Section 3.2.2, shall comply with the requirements of Rule 430A of the Securities Act Regulations, and will notify the Representative promptly, and confirm the notice in writing, (i) when any post-effective amendment to the Registration Statement shall become effective or any amendment or supplement to the Prospectus shall have been filed; (ii) of the receipt of any comments from the Commission; (iii) of any request by the Commission for any amendment to the Registration Statement or any amendment or supplement to the Prospectus or for additional information; (iv) of the issuance by the Commission of any stop order suspending the effectiveness of the Registration Statement or any post-effective amendment or of any order preventing or suspending the use of any Preliminary Prospectus or the Prospectus, or of the suspension of the qualification of the Public Securities and Representative’s Securities for offering or sale in any jurisdiction, or of the initiation or threatening of any proceedings for any of such purposes or of any examination pursuant to Section 8(d) or 8(e) of the Securities Act concerning the Registration Statement and (v) if the Company becomes the subject of a proceeding under Section 8A of the Securities Act in connection with the Offering of the Public Securities and Representative’s Securities. The Company shall effect all filings required under Rule 424(b) of the Securities Act Regulations, in the manner and within the time period required by Rule 424(b) (without reliance on Rule 424(b)(8)), and shall take such steps as it deems necessary to ascertain promptly whether the form of prospectus transmitted for filing under Rule 424(b) was received for filing by the Commission and, in the event that it was not, it will promptly file such prospectus. The Company shall use its best efforts to prevent the issuance of any stop order, prevention or suspension and, if any such order is issued, to obtain the lifting thereof at the earliest possible moment. </w:t>
      </w:r>
    </w:p>
    <w:p>
      <w:pPr>
        <w:pStyle w:val="TextBody"/>
        <w:bidi w:val="0"/>
        <w:spacing w:before="240" w:after="0"/>
        <w:jc w:val="left"/>
        <w:rPr>
          <w:rFonts w:ascii="Times New Roman" w:hAnsi="Times New Roman"/>
          <w:sz w:val="20"/>
        </w:rPr>
      </w:pPr>
      <w:r>
        <w:rPr>
          <w:rFonts w:ascii="Times New Roman" w:hAnsi="Times New Roman"/>
          <w:sz w:val="20"/>
        </w:rPr>
        <w:t xml:space="preserve">3.2.2. </w:t>
      </w:r>
      <w:r>
        <w:rPr>
          <w:rFonts w:ascii="Times New Roman" w:hAnsi="Times New Roman"/>
          <w:sz w:val="20"/>
          <w:u w:val="single"/>
        </w:rPr>
        <w:t>Continued Compliance</w:t>
      </w:r>
      <w:r>
        <w:rPr>
          <w:rFonts w:ascii="Times New Roman" w:hAnsi="Times New Roman"/>
          <w:sz w:val="20"/>
        </w:rPr>
        <w:t>. The Company shall comply with the Securities Act, the Securities Act Regulations, the Exchange Act and the Exchange Act Regulations so as to permit the completion of the distribution of the Public Securities as contemplated in this Agreement and in the Registration Statement, the Pricing Disclosure Package and the Prospectus. If at any time when a prospectus relating to the Public Securities is (or, but for the exception afforded by Rule 172 of the Securities Act Regulations (“</w:t>
      </w:r>
      <w:r>
        <w:rPr>
          <w:rFonts w:ascii="Times New Roman" w:hAnsi="Times New Roman"/>
          <w:b/>
          <w:sz w:val="20"/>
        </w:rPr>
        <w:t>Rule 172</w:t>
      </w:r>
      <w:r>
        <w:rPr>
          <w:rFonts w:ascii="Times New Roman" w:hAnsi="Times New Roman"/>
          <w:sz w:val="20"/>
        </w:rPr>
        <w:t xml:space="preserve">”), would be) required by the Securities Act to be delivered in connection with sales of the Public Securities, any event shall occur or condition shall exist as a result of which it is necessary, in the opinion of counsel for the Representative or for the Company, to (i) amend the Registration Statement in order that the Registration Statement will not include an untrue statement of a material fact or omit to state a material fact required to be stated therein or necessary to make the statements therein not misleading; (ii) amend or supplement the Pricing Disclosure Package or the Prospectus in order that the Pricing Disclosure Package or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Pricing Disclosure Package or the Prospectus, as the case may be, in order to comply with the requirements of the Securities Act or the Securities Act Regulations, the Company will promptly (A) give the Representative notice of such event; (B) prepare any amendment or supplement as may be necessary to correct such statement or omission or to make the Registration Statement, the Pricing Disclosure Package or the Prospectus comply with such requirements and, a reasonable amount of time prior to any proposed filing or use, furnish the Representative with copies of any such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amendment or supplement and (C) file with the Commission any such amendment or supplement; provided that the Company shall not file or use any such amendment or supplement to which the Representative or counsel for the Representative shall reasonably object. The Company will furnish to the Underwriters such number of copies of such amendment or supplement as the Underwriters may reasonably request. The Company shall give the Representative notice of its intention to make any such filing from the Applicable Time until the later of the Closing Date and the exercise in full or expiration of the Over-allotment Option specified in Section 1.2 hereof and will furnish the Representative with copies of the related document(s) a reasonable amount of time prior to such proposed filing, as the case may be, and will not file or use any such document to which the Representative or counsel for the Representative shall reasonably object. </w:t>
      </w:r>
    </w:p>
    <w:p>
      <w:pPr>
        <w:pStyle w:val="TextBody"/>
        <w:bidi w:val="0"/>
        <w:spacing w:before="240" w:after="0"/>
        <w:jc w:val="left"/>
        <w:rPr>
          <w:rFonts w:ascii="Times New Roman" w:hAnsi="Times New Roman"/>
          <w:sz w:val="20"/>
        </w:rPr>
      </w:pPr>
      <w:r>
        <w:rPr>
          <w:rFonts w:ascii="Times New Roman" w:hAnsi="Times New Roman"/>
          <w:sz w:val="20"/>
        </w:rPr>
        <w:t xml:space="preserve">3.2.3. </w:t>
      </w:r>
      <w:r>
        <w:rPr>
          <w:rFonts w:ascii="Times New Roman" w:hAnsi="Times New Roman"/>
          <w:sz w:val="20"/>
          <w:u w:val="single"/>
        </w:rPr>
        <w:t>Exchange Act Registration</w:t>
      </w:r>
      <w:r>
        <w:rPr>
          <w:rFonts w:ascii="Times New Roman" w:hAnsi="Times New Roman"/>
          <w:sz w:val="20"/>
        </w:rPr>
        <w:t xml:space="preserve">. For a period of three (3) years after the date of this Agreement, the Company shall use its best efforts to maintain the registration of the shares of Common Stock under the Exchange Act. The Company shall not deregister the shares of Common Stock under the Exchange Act for a period of two (2) years without the prior written consent of the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3.2.4. </w:t>
      </w:r>
      <w:r>
        <w:rPr>
          <w:rFonts w:ascii="Times New Roman" w:hAnsi="Times New Roman"/>
          <w:sz w:val="20"/>
          <w:u w:val="single"/>
        </w:rPr>
        <w:t>Free Writing Prospectuses</w:t>
      </w:r>
      <w:r>
        <w:rPr>
          <w:rFonts w:ascii="Times New Roman" w:hAnsi="Times New Roman"/>
          <w:sz w:val="20"/>
        </w:rPr>
        <w:t>. The Company agrees that, unless it obtains the prior written consent of the Representative, it shall not make any offer relating to the Public Securities that would constitute an Issuer Free Writing Prospectus or that would otherwise constitute a “</w:t>
      </w:r>
      <w:r>
        <w:rPr>
          <w:rFonts w:ascii="Times New Roman" w:hAnsi="Times New Roman"/>
          <w:b/>
          <w:sz w:val="20"/>
        </w:rPr>
        <w:t>free writing prospectus</w:t>
      </w:r>
      <w:r>
        <w:rPr>
          <w:rFonts w:ascii="Times New Roman" w:hAnsi="Times New Roman"/>
          <w:sz w:val="20"/>
        </w:rPr>
        <w:t>”, or a portion thereof, required to be filed by the Company with the Commission or retained by the Company under Rule 433; provided that the Representative shall be deemed to have consented to each Issuer General Use Free Writing Prospectus hereto and any “road show that is a written communication” within the meaning of Rule 433(d)(8)(i) that has been reviewed by the Representative. The Company represents that it has treated or agrees that it will treat each such free writing prospectus consented to, or deemed consented to, by the Underwriters as an “</w:t>
      </w:r>
      <w:r>
        <w:rPr>
          <w:rFonts w:ascii="Times New Roman" w:hAnsi="Times New Roman"/>
          <w:b/>
          <w:sz w:val="20"/>
        </w:rPr>
        <w:t>issuer free writing prospectus</w:t>
      </w:r>
      <w:r>
        <w:rPr>
          <w:rFonts w:ascii="Times New Roman" w:hAnsi="Times New Roman"/>
          <w:sz w:val="20"/>
        </w:rPr>
        <w:t xml:space="preserve">”, as defined in Rule 433, and that it has complied and will comply with the applicable requirements of Rule 433 with respect thereto, including timely filing with the Commission where required, legending and record keeping. If at any time following issuance of an Issuer Free Writing Prospectus there occurred or occurs an event or development as a result of which such Issuer Free Writing Prospectus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Underwriters and will promptly amend or supplement, at its own expense, such Issuer Free Writing Prospectus to eliminate or correct such conflict, untrue statement or omission. </w:t>
      </w:r>
    </w:p>
    <w:p>
      <w:pPr>
        <w:pStyle w:val="TextBody"/>
        <w:bidi w:val="0"/>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Delivery to the Underwriters of Registration Statements</w:t>
      </w:r>
      <w:r>
        <w:rPr>
          <w:rFonts w:ascii="Times New Roman" w:hAnsi="Times New Roman"/>
          <w:sz w:val="20"/>
        </w:rPr>
        <w:t xml:space="preserve">. The Company has delivered or made available or shall deliver or make available to the Representative and counsel for the Representative, without charge, signed copies of the Registration Statement as originally filed and each amendment thereto (including exhibits filed therewith) and signed copies of all consents and certificates of experts, and will also deliver to the Underwriters, without charge, a conformed copy of the Registration Statement as originally filed and each amendment thereto (without exhibits), upon receipt of a written request therefor from such Underwriter. The copies of the Registration Statement and each amendment thereto furnished to the Underwriters will be identical to the electronically transmitted copies thereof filed with the Commission pursuant to EDGAR, except to the extent permitted by Regulation S-T. </w:t>
      </w:r>
    </w:p>
    <w:p>
      <w:pPr>
        <w:pStyle w:val="TextBody"/>
        <w:bidi w:val="0"/>
        <w:spacing w:before="24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Delivery to the Underwriters of Prospectuses</w:t>
      </w:r>
      <w:r>
        <w:rPr>
          <w:rFonts w:ascii="Times New Roman" w:hAnsi="Times New Roman"/>
          <w:sz w:val="20"/>
        </w:rPr>
        <w:t xml:space="preserve">. The Company has delivered or made available or will deliver or make available to each Underwriter, without charge, as many copies of each Preliminary Prospectus as such Underwriter reasonably requested, and the Company hereby consents to the use of such copies for purposes permitted by the Securities Act. The Company will furnish to each Underwriter, without charge, during the period when a prospectus relating to the Public Securities is (or, but for the exception afforded by Rule 172 of the Securities Act Regulations, would be) required to be delivered under the Securities Act, such number of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3.5 </w:t>
      </w:r>
      <w:r>
        <w:rPr>
          <w:rFonts w:ascii="Times New Roman" w:hAnsi="Times New Roman"/>
          <w:sz w:val="20"/>
          <w:u w:val="single"/>
        </w:rPr>
        <w:t>Effectiveness and Events Requiring Notice to the Representative</w:t>
      </w:r>
      <w:r>
        <w:rPr>
          <w:rFonts w:ascii="Times New Roman" w:hAnsi="Times New Roman"/>
          <w:sz w:val="20"/>
        </w:rPr>
        <w:t xml:space="preserve">. The Company shall use its best efforts to cause the Registration Statement to remain effective with a current prospectus for at least nine (9) months after the Applicable Time, and shall notify the Representative immediately and confirm the notice in writing: (i) of the effectiveness of the Registration Statement and any amendment thereto; (ii) of the issuance by the Commission of any stop order or of the initiation, or the threatening, of any proceeding for that purpose; (iii) of the issuance by any state securities commission of any proceedings for the suspension of the qualification of the Public Securities for offering or sale in any jurisdiction or of the initiation, or the threatening, of any proceeding for that purpose; (iv) of the mailing and delivery to the Commission for filing of any amendment or supplement to the Registration Statement or Prospectus; (v) of the receipt of any comments or request for any additional information from the Commission; and (vi) of the happening of any event during the period described in this Section 3.5 that, in the judgment of the Company, makes any statement of a material fact made in the Registration Statement, the Pricing Disclosure Package or the Prospectus untrue or that requires the making of any changes in (a) the Registration Statement in order to make the statements therein not misleading, or (b) in the Pricing Disclosure Package or the Prospectus in order to make the statements therein, in light of the circumstances under which they were made, not misleading. If the Commission or any state securities commission shall enter a stop order or suspend such qualification at any time, the Company shall make every reasonable effort to obtain promptly the lifting of such order. </w:t>
      </w:r>
    </w:p>
    <w:p>
      <w:pPr>
        <w:pStyle w:val="TextBody"/>
        <w:bidi w:val="0"/>
        <w:spacing w:before="240" w:after="0"/>
        <w:jc w:val="left"/>
        <w:rPr>
          <w:rFonts w:ascii="Times New Roman" w:hAnsi="Times New Roman"/>
          <w:sz w:val="20"/>
        </w:rPr>
      </w:pPr>
      <w:r>
        <w:rPr>
          <w:rFonts w:ascii="Times New Roman" w:hAnsi="Times New Roman"/>
          <w:sz w:val="20"/>
        </w:rPr>
        <w:t xml:space="preserve">3.6 </w:t>
      </w:r>
      <w:r>
        <w:rPr>
          <w:rFonts w:ascii="Times New Roman" w:hAnsi="Times New Roman"/>
          <w:sz w:val="20"/>
          <w:u w:val="single"/>
        </w:rPr>
        <w:t>Review of Financial Statements.</w:t>
      </w:r>
      <w:r>
        <w:rPr>
          <w:rFonts w:ascii="Times New Roman" w:hAnsi="Times New Roman"/>
          <w:sz w:val="20"/>
        </w:rPr>
        <w:t xml:space="preserve"> For a period of three (3) years after the date of this Agreement, the Company, at its expense, shall cause its regularly engaged independent registered public accounting firm to review (but not audit) the Company’s financial statements for each of the three fiscal quarters immediately preceding the announcement of any quarterly financial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3.7 </w:t>
      </w:r>
      <w:r>
        <w:rPr>
          <w:rFonts w:ascii="Times New Roman" w:hAnsi="Times New Roman"/>
          <w:sz w:val="20"/>
          <w:u w:val="single"/>
        </w:rPr>
        <w:t>Listing</w:t>
      </w:r>
      <w:r>
        <w:rPr>
          <w:rFonts w:ascii="Times New Roman" w:hAnsi="Times New Roman"/>
          <w:sz w:val="20"/>
        </w:rPr>
        <w:t xml:space="preserve">. The Company shall use its best efforts to maintain the listing of the shares of Common Stock (including the Public Securities) on the Exchange for at least two (2) years from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3.8 </w:t>
      </w:r>
      <w:r>
        <w:rPr>
          <w:rFonts w:ascii="Times New Roman" w:hAnsi="Times New Roman"/>
          <w:sz w:val="20"/>
          <w:u w:val="single"/>
        </w:rPr>
        <w:t>Reports to the Representative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3.8.1. </w:t>
      </w:r>
      <w:r>
        <w:rPr>
          <w:rFonts w:ascii="Times New Roman" w:hAnsi="Times New Roman"/>
          <w:sz w:val="20"/>
          <w:u w:val="single"/>
        </w:rPr>
        <w:t>Periodic Reports, etc</w:t>
      </w:r>
      <w:r>
        <w:rPr>
          <w:rFonts w:ascii="Times New Roman" w:hAnsi="Times New Roman"/>
          <w:sz w:val="20"/>
        </w:rPr>
        <w:t xml:space="preserve">. For a period of three (3) years after the date of this Agreement, the Company shall furnish or make available to the Representative copies of such financial statements and other periodic and special reports as the Company from time to time furnishes generally to holders of any class of its securities and also promptly furnish to the Representative: (i) a copy of each periodic report the Company shall be required to file with the Commission under the Exchange Act and the Exchange Act Regulations; (ii) a copy of every press release and every news item and article with respect to the Company or its affairs which was released by the Company to the general public; (iii) a copy of each Form 8-K prepared and filed by the Company; (iv) five copies of each registration statement filed by the Company under the Securities Act; and (v) such additional documents and information with respect to the Company and the affairs of any future subsidiaries of the Company as the Representative may from time to time reasonably request; provided the Representative shall sign, if requested by the Company, a Regulation FD compliant confidentiality agreement which is reasonably acceptable to the Representative and Representative Counsel in connection with the Representative’s receipt of such information. Documents filed with the Commission pursuant to its EDGAR system or released over national wire services or other Regulation FD compliant methods shall be deemed to have been delivered to the Representative pursuant to this Section 3.8.1. Any documents not filed with the Commission pursuant to its EDGAR system or otherwise released via Regulation FD compliant methods shall be delivered to rkonik@konikcapitalpartners.com. </w:t>
      </w:r>
    </w:p>
    <w:p>
      <w:pPr>
        <w:pStyle w:val="TextBody"/>
        <w:bidi w:val="0"/>
        <w:spacing w:before="240" w:after="0"/>
        <w:jc w:val="left"/>
        <w:rPr>
          <w:rFonts w:ascii="Times New Roman" w:hAnsi="Times New Roman"/>
          <w:sz w:val="20"/>
        </w:rPr>
      </w:pPr>
      <w:r>
        <w:rPr>
          <w:rFonts w:ascii="Times New Roman" w:hAnsi="Times New Roman"/>
          <w:sz w:val="20"/>
        </w:rPr>
        <w:t xml:space="preserve">3.8.2. </w:t>
      </w:r>
      <w:r>
        <w:rPr>
          <w:rFonts w:ascii="Times New Roman" w:hAnsi="Times New Roman"/>
          <w:sz w:val="20"/>
          <w:u w:val="single"/>
        </w:rPr>
        <w:t>Transfer Agent; Transfer Sheets</w:t>
      </w:r>
      <w:r>
        <w:rPr>
          <w:rFonts w:ascii="Times New Roman" w:hAnsi="Times New Roman"/>
          <w:sz w:val="20"/>
        </w:rPr>
        <w:t>. For a period of one (1) year after the date of this Agreement, the Company shall retain a transfer agent and registrar (the “</w:t>
      </w:r>
      <w:r>
        <w:rPr>
          <w:rFonts w:ascii="Times New Roman" w:hAnsi="Times New Roman"/>
          <w:b/>
          <w:sz w:val="20"/>
        </w:rPr>
        <w:t>Transfer Agent</w:t>
      </w:r>
      <w:r>
        <w:rPr>
          <w:rFonts w:ascii="Times New Roman" w:hAnsi="Times New Roman"/>
          <w:sz w:val="20"/>
        </w:rPr>
        <w:t xml:space="preserve">”) and shall furnish to the Representative at the Company’s sole cost and expense such transfer sheets of the Company’s securities as the Representative may reasonably request, including the daily and monthly consolidated transfer sheets of the Transfer Agent and DTC. Computershare Trust Company, N.A.is acceptable to the Representative to act as Transfer Agent for the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3.8.3. </w:t>
      </w:r>
      <w:r>
        <w:rPr>
          <w:rFonts w:ascii="Times New Roman" w:hAnsi="Times New Roman"/>
          <w:sz w:val="20"/>
          <w:u w:val="single"/>
        </w:rPr>
        <w:t>Trading Reports</w:t>
      </w:r>
      <w:r>
        <w:rPr>
          <w:rFonts w:ascii="Times New Roman" w:hAnsi="Times New Roman"/>
          <w:sz w:val="20"/>
        </w:rPr>
        <w:t xml:space="preserve">. For a period of one (1) year after the date of this Agreement,, the Company shall provide to the Representative, at the Company’s expense, such reports published by the Exchange relating to price trading of the Public Securities, as the Representative shall reasonably request. Any reports published by the Exchange and available on its website shall be deemed to have been delivered to the Representative pursuant to this Section 3.8.3.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3.9 </w:t>
      </w:r>
      <w:r>
        <w:rPr>
          <w:rFonts w:ascii="Times New Roman" w:hAnsi="Times New Roman"/>
          <w:sz w:val="20"/>
          <w:u w:val="single"/>
        </w:rPr>
        <w:t>Payment of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3.9.1 </w:t>
      </w:r>
      <w:r>
        <w:rPr>
          <w:rFonts w:ascii="Times New Roman" w:hAnsi="Times New Roman"/>
          <w:sz w:val="20"/>
          <w:u w:val="single"/>
        </w:rPr>
        <w:t>General Expenses Related to the Offering</w:t>
      </w:r>
      <w:r>
        <w:rPr>
          <w:rFonts w:ascii="Times New Roman" w:hAnsi="Times New Roman"/>
          <w:sz w:val="20"/>
        </w:rPr>
        <w:t>. The Company hereby agrees to pay on each of the Closing Date and the Option Closing Date, if any, to the extent not paid at the Closing Date, all expenses incident to the performance of the obligations of the Company under this Agreement, including, but not limited to: (a) all filing fees and communication expenses relating to the registration of the shares of Common Stock to be sold in the Offering (including the Option Shares) with the Commission; (b) all Public Filing System filing fees associated with the review of the Offering by FINRA; (c) all fees and expenses relating to the listing of such Public Securities on the Exchange; (d) all fees, expenses and disbursements relating to the registration, qualification or exemption of the Public Securities under the securities laws of such foreign jurisdictions as the Company and Konik Capital together determin</w:t>
      </w:r>
      <w:r>
        <w:rPr>
          <w:rFonts w:ascii="Times New Roman" w:hAnsi="Times New Roman"/>
          <w:b/>
          <w:sz w:val="20"/>
        </w:rPr>
        <w:t>e</w:t>
      </w:r>
      <w:r>
        <w:rPr>
          <w:rFonts w:ascii="Times New Roman" w:hAnsi="Times New Roman"/>
          <w:sz w:val="20"/>
        </w:rPr>
        <w:t>; (e) the costs of all mailing and printing of the placement documents (including, without limitation, the Underwriting Agreement, and, if appropriate, any Agreement Among Underwriters, Selected, Dealers’ Agreement, Underwriter’s Questionnaire and Power of Attorney), Registration Statements, Prospectuses and all amendments, supplements and exhibits thereto and as many preliminary and final Prospectuses as Konik Capital may reasonably deem necessary; (f) the costs of preparing, printing and delivering certificates representing the Public Securities; (g) fees and expenses of the transfer agent for the securities; and (h) stock transfer and/or stamp taxes, if any, payable upon the transfer of securities from the Company to Konik Capital. The Company will reimburse Konik Capital for a certain amount of its accountable expenses including actual accountable road show expenses for the offering; the cost associated with the Underwriter’s use of book-building and compliance software for the offering, reasonable fees of: (i) the Representative’s counsel up to an amount of $150,000 (which maximum shall apply solely to such fees and disbursements of counsel and not to other fees and expenses provided for in this Section 3.10); and (ii) background checks of the Company’s officers and directors; preparation of bound volumes and Lucite cube mementos in such quantities as the Underwriter may reasonably request. For the sake of clarity, such accountable costs and expenses that the Company shall reimburse the Representative shall not exceed $150,000. The Company delivered to the Underwriter, $30,000 as an advance to be credited against the accountable expenses actually incurred by the Representative (the “</w:t>
      </w:r>
      <w:r>
        <w:rPr>
          <w:rFonts w:ascii="Times New Roman" w:hAnsi="Times New Roman"/>
          <w:b/>
          <w:sz w:val="20"/>
        </w:rPr>
        <w:t>Advance</w:t>
      </w:r>
      <w:r>
        <w:rPr>
          <w:rFonts w:ascii="Times New Roman" w:hAnsi="Times New Roman"/>
          <w:sz w:val="20"/>
        </w:rPr>
        <w:t xml:space="preserve">”). The advance or any part thereof will be refunded to the Company to the extent not actually incurred regardless of the termination of this Agreement, in accordance with FINRA Rule 5110(g)(4). </w:t>
      </w:r>
    </w:p>
    <w:p>
      <w:pPr>
        <w:pStyle w:val="TextBody"/>
        <w:bidi w:val="0"/>
        <w:spacing w:before="240" w:after="0"/>
        <w:jc w:val="left"/>
        <w:rPr>
          <w:rFonts w:ascii="Times New Roman" w:hAnsi="Times New Roman"/>
          <w:sz w:val="20"/>
        </w:rPr>
      </w:pPr>
      <w:r>
        <w:rPr>
          <w:rFonts w:ascii="Times New Roman" w:hAnsi="Times New Roman"/>
          <w:sz w:val="20"/>
        </w:rPr>
        <w:t xml:space="preserve">3.10 </w:t>
      </w:r>
      <w:r>
        <w:rPr>
          <w:rFonts w:ascii="Times New Roman" w:hAnsi="Times New Roman"/>
          <w:sz w:val="20"/>
          <w:u w:val="single"/>
        </w:rPr>
        <w:t>Application of Net Proceeds</w:t>
      </w:r>
      <w:r>
        <w:rPr>
          <w:rFonts w:ascii="Times New Roman" w:hAnsi="Times New Roman"/>
          <w:sz w:val="20"/>
        </w:rPr>
        <w:t xml:space="preserve">. The Company shall apply the net proceeds from the Offering received by it in a manner consistent with the application thereof described under the caption “Use of Proceeds” in the Registration Statement, the Pricing Disclosure Package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3.11 </w:t>
      </w:r>
      <w:r>
        <w:rPr>
          <w:rFonts w:ascii="Times New Roman" w:hAnsi="Times New Roman"/>
          <w:sz w:val="20"/>
          <w:u w:val="single"/>
        </w:rPr>
        <w:t>Delivery of Earnings Statements to Security Holders</w:t>
      </w:r>
      <w:r>
        <w:rPr>
          <w:rFonts w:ascii="Times New Roman" w:hAnsi="Times New Roman"/>
          <w:sz w:val="20"/>
        </w:rPr>
        <w:t xml:space="preserve">. The Company shall make generally available to its security holders as soon as practicable, but not later than the first day of the fifteenth (15th) full calendar month following the date of this Agreement, an earnings statement (which need not be certified by independent registered public accounting firm unless required by the Securities Act or the Securities Act Regulations, but which shall satisfy the provisions of Rule 158(a) under Section 11(a) of the Securities Act) covering a period of at least twelve (12) consecutive months beginning after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3.12 </w:t>
      </w:r>
      <w:r>
        <w:rPr>
          <w:rFonts w:ascii="Times New Roman" w:hAnsi="Times New Roman"/>
          <w:sz w:val="20"/>
          <w:u w:val="single"/>
        </w:rPr>
        <w:t>Stabilization</w:t>
      </w:r>
      <w:r>
        <w:rPr>
          <w:rFonts w:ascii="Times New Roman" w:hAnsi="Times New Roman"/>
          <w:sz w:val="20"/>
        </w:rPr>
        <w:t xml:space="preserve">. Neither the Company nor, to its knowledge, any of its employees, directors or shareholders (without the consent of the Representative) has taken or shall take, directly or indirectly, any action designed to or that has constituted or that might reasonably be expected to cause or result in, under Regulation M of the Exchange Act, or otherwise, stabilization or manipulation of the price of any security of the Company to facilitate the sale or resale of the Public Securities. </w:t>
      </w:r>
    </w:p>
    <w:p>
      <w:pPr>
        <w:pStyle w:val="TextBody"/>
        <w:bidi w:val="0"/>
        <w:spacing w:before="240" w:after="0"/>
        <w:jc w:val="left"/>
        <w:rPr>
          <w:rFonts w:ascii="Times New Roman" w:hAnsi="Times New Roman"/>
          <w:sz w:val="20"/>
        </w:rPr>
      </w:pPr>
      <w:r>
        <w:rPr>
          <w:rFonts w:ascii="Times New Roman" w:hAnsi="Times New Roman"/>
          <w:sz w:val="20"/>
        </w:rPr>
        <w:t xml:space="preserve">3.13 </w:t>
      </w:r>
      <w:r>
        <w:rPr>
          <w:rFonts w:ascii="Times New Roman" w:hAnsi="Times New Roman"/>
          <w:sz w:val="20"/>
          <w:u w:val="single"/>
        </w:rPr>
        <w:t>Internal Controls</w:t>
      </w:r>
      <w:r>
        <w:rPr>
          <w:rFonts w:ascii="Times New Roman" w:hAnsi="Times New Roman"/>
          <w:sz w:val="20"/>
        </w:rPr>
        <w:t xml:space="preserve">. The Company shall maintain a system of internal accounting controls sufficient to provide reasonable assurances that: (i) transactions are executed in accordance with management’s general or specific authorization; (ii) transactions are recorded as necessary in order to permit preparation of financial statements in accordance with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3.14 </w:t>
      </w:r>
      <w:r>
        <w:rPr>
          <w:rFonts w:ascii="Times New Roman" w:hAnsi="Times New Roman"/>
          <w:sz w:val="20"/>
          <w:u w:val="single"/>
        </w:rPr>
        <w:t>Accountants</w:t>
      </w:r>
      <w:r>
        <w:rPr>
          <w:rFonts w:ascii="Times New Roman" w:hAnsi="Times New Roman"/>
          <w:sz w:val="20"/>
        </w:rPr>
        <w:t xml:space="preserve">. As of the date of this Agreement, the Company has retained an independent registered public accounting firm reasonably acceptable to the Representative, and the Company shall continue to retain a nationally recognized independent registered public accounting firm for a period of at least three (3) years after the date of this Agreement. The Representative acknowledges that CBIZ CPAs PC is acceptable to the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3.15 </w:t>
      </w:r>
      <w:r>
        <w:rPr>
          <w:rFonts w:ascii="Times New Roman" w:hAnsi="Times New Roman"/>
          <w:sz w:val="20"/>
          <w:u w:val="single"/>
        </w:rPr>
        <w:t>FINRA</w:t>
      </w:r>
      <w:r>
        <w:rPr>
          <w:rFonts w:ascii="Times New Roman" w:hAnsi="Times New Roman"/>
          <w:sz w:val="20"/>
        </w:rPr>
        <w:t xml:space="preserve">. For a period of ninety (90) days from the Closing Date, the Company shall advise the Representative (who shall make an appropriate filing with FINRA) if it is or becomes aware that (i) any officer or director of the Company, (ii) any beneficial owner of 5% or more of any class of the Company’s securities or (iii) any beneficial owner of the Company’s unregistered equity securities which were acquired during the 180 days immediately preceding the filing of the Registration Statement is or becomes an affiliate or associated person of a FINRA member participating in the Offering (as determined in accordance with the rules and regulations of FINRA). </w:t>
      </w:r>
    </w:p>
    <w:p>
      <w:pPr>
        <w:pStyle w:val="TextBody"/>
        <w:bidi w:val="0"/>
        <w:spacing w:before="240" w:after="0"/>
        <w:jc w:val="left"/>
        <w:rPr>
          <w:rFonts w:ascii="Times New Roman" w:hAnsi="Times New Roman"/>
          <w:sz w:val="20"/>
        </w:rPr>
      </w:pPr>
      <w:r>
        <w:rPr>
          <w:rFonts w:ascii="Times New Roman" w:hAnsi="Times New Roman"/>
          <w:sz w:val="20"/>
        </w:rPr>
        <w:t xml:space="preserve">3.16 </w:t>
      </w:r>
      <w:r>
        <w:rPr>
          <w:rFonts w:ascii="Times New Roman" w:hAnsi="Times New Roman"/>
          <w:sz w:val="20"/>
          <w:u w:val="single"/>
        </w:rPr>
        <w:t>No Fiduciary Duties</w:t>
      </w:r>
      <w:r>
        <w:rPr>
          <w:rFonts w:ascii="Times New Roman" w:hAnsi="Times New Roman"/>
          <w:sz w:val="20"/>
        </w:rPr>
        <w:t xml:space="preserve">. The Company acknowledges and agrees that the Underwriters’ responsibility to the Company is solely contractual in nature and that none of the Underwriters or their affiliates or any selling agent shall be deemed to be acting in a fiduciary capacity, or otherwise owes any fiduciary duty to the Company or any of its affiliates in connection with the Offering and the other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3.17 </w:t>
      </w:r>
      <w:r>
        <w:rPr>
          <w:rFonts w:ascii="Times New Roman" w:hAnsi="Times New Roman"/>
          <w:sz w:val="20"/>
          <w:u w:val="single"/>
        </w:rPr>
        <w:t>Company Lock-Up Agreements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3.17.1. </w:t>
      </w:r>
      <w:r>
        <w:rPr>
          <w:rFonts w:ascii="Times New Roman" w:hAnsi="Times New Roman"/>
          <w:sz w:val="20"/>
          <w:u w:val="single"/>
        </w:rPr>
        <w:t>Restriction on Sales of Capital Stock</w:t>
      </w:r>
      <w:r>
        <w:rPr>
          <w:rFonts w:ascii="Times New Roman" w:hAnsi="Times New Roman"/>
          <w:sz w:val="20"/>
        </w:rPr>
        <w:t>. The Company, on behalf of itself and any successor entity, agrees that, without the prior written consent of the Representative, it will not, for a period of 120 days after the date of this Agreement, provided that if the Offering gross proceeds are less than $16 million such period shall be 60 days after the offering (the “</w:t>
      </w:r>
      <w:r>
        <w:rPr>
          <w:rFonts w:ascii="Times New Roman" w:hAnsi="Times New Roman"/>
          <w:b/>
          <w:sz w:val="20"/>
        </w:rPr>
        <w:t>Lock-Up Period</w:t>
      </w:r>
      <w:r>
        <w:rPr>
          <w:rFonts w:ascii="Times New Roman" w:hAnsi="Times New Roman"/>
          <w:sz w:val="20"/>
        </w:rPr>
        <w:t xml:space="preserve">”), (i) offer, pledge, sell, contract to sell, sell any option or contract to purchase, purchase any option or contract to sell, grant any option, right or warrant to purchase, lend, or otherwise transfer or dispose of, directly or indirectly, any shares of capital stock of the Company or any securities convertible into or exercisable or exchangeable for shares of capital stock of the Company, subject to customary exceptions for exercises or conversion of outstanding derivative securities and equity grants approved by the Company’s compensation committee; (ii) file or caused to be filed any registration statement with the Commission relating to the offering of any shares of capital stock of the Company or any securities convertible into or exercisable or exchangeable for shares of capital stock of the Company other than a Form S-8; (iii) complete any offering of debt securities of the Company, other than entering into a line of credit with a traditional bank or (iv) enter into any swap or other arrangement that transfers to another, in whole or in part, any of the economic consequences of ownership of capital stock of the Company, whether any such transaction described in clause (i), (ii), (iii) or (iv) above is to be settled by delivery of shares of capital stock of the Company or such other securities, in cash or otherwise. </w:t>
      </w:r>
    </w:p>
    <w:p>
      <w:pPr>
        <w:pStyle w:val="TextBody"/>
        <w:bidi w:val="0"/>
        <w:spacing w:before="240" w:after="0"/>
        <w:jc w:val="left"/>
        <w:rPr>
          <w:rFonts w:ascii="Times New Roman" w:hAnsi="Times New Roman"/>
          <w:sz w:val="20"/>
        </w:rPr>
      </w:pPr>
      <w:r>
        <w:rPr>
          <w:rFonts w:ascii="Times New Roman" w:hAnsi="Times New Roman"/>
          <w:sz w:val="20"/>
        </w:rPr>
        <w:t xml:space="preserve">The restrictions contained in this Section 3.17.1 shall not apply to (i) the shares of Common Stock to be sold hereunder, (ii) any the shares of Common Stock issued upon the exercise of an option or other security outstanding on the date hereof, which is disclosed in the Registration Statement, Disclosure Package and Prospectus, provided that such options, warrants, and securities have not been amended since the date of this Agreement to increase the number of such securities or to decrease the exercise price, exchange price or conversion price of such securities or to extend the term of such securities, which is disclosed in the Registration Statement, Disclosure Package and Prospectus, provided that such options, warrants, and securities have not been amended since the date of this Agreement to increase the number of such securities or to decrease the exercise price, exchange price or conversion price of such securities or to extend the term of such securities, or (iii) such issuances of options or grants of restricted stock or other equity-based awards under an existing Company equity incentive plans, as amended, and the issuance of shares issuable upon exercise of any such equity-based awards, (iv) the filing of registration statements on Form S-8, (v) the issuance of securities to affiliates and subsidiaries of the Company, (vi) sales of common stock under the Company’s existing at-the-market facility in the event gross proceeds of the Offering are less than $20,000,000 and (vii) the issuance of securities in connection with mergers, acquisitions, joint ventures, licensing arrangements or any other similar non-capital raising transactions, provided that in each of (ii) and (iii) above, the underlying shares shall be restricted from sale during the entire Lock-Up Period. </w:t>
      </w:r>
    </w:p>
    <w:p>
      <w:pPr>
        <w:pStyle w:val="TextBody"/>
        <w:bidi w:val="0"/>
        <w:spacing w:before="240" w:after="0"/>
        <w:jc w:val="left"/>
        <w:rPr>
          <w:rFonts w:ascii="Times New Roman" w:hAnsi="Times New Roman"/>
          <w:sz w:val="20"/>
        </w:rPr>
      </w:pPr>
      <w:r>
        <w:rPr>
          <w:rFonts w:ascii="Times New Roman" w:hAnsi="Times New Roman"/>
          <w:sz w:val="20"/>
        </w:rPr>
        <w:t xml:space="preserve">3.18 </w:t>
      </w:r>
      <w:r>
        <w:rPr>
          <w:rFonts w:ascii="Times New Roman" w:hAnsi="Times New Roman"/>
          <w:sz w:val="20"/>
          <w:u w:val="single"/>
        </w:rPr>
        <w:t>Release of D&amp;O Lock-up Period</w:t>
      </w:r>
      <w:r>
        <w:rPr>
          <w:rFonts w:ascii="Times New Roman" w:hAnsi="Times New Roman"/>
          <w:sz w:val="20"/>
        </w:rPr>
        <w:t xml:space="preserve">. If the Representative, in its sole discretion, agrees to release or waive the restrictions set forth in the Lock-Up Agreements described in Section 2.25 hereof for an officer or director of the Company and provide the Company with notice of the impending release or waiver at least three (3) Business Days before the effective date of the release or waiver, the Company agrees to announce the impending release or waiver by a press release substantially in the form of </w:t>
      </w:r>
      <w:r>
        <w:rPr>
          <w:rFonts w:ascii="Times New Roman" w:hAnsi="Times New Roman"/>
          <w:sz w:val="20"/>
          <w:u w:val="single"/>
        </w:rPr>
        <w:t>Exhibit C</w:t>
      </w:r>
      <w:r>
        <w:rPr>
          <w:rFonts w:ascii="Times New Roman" w:hAnsi="Times New Roman"/>
          <w:sz w:val="20"/>
        </w:rPr>
        <w:t xml:space="preserve"> hereto through a major news service at least two (2) Business Days before the effective date of the release or waiver.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3.19 </w:t>
      </w:r>
      <w:r>
        <w:rPr>
          <w:rFonts w:ascii="Times New Roman" w:hAnsi="Times New Roman"/>
          <w:sz w:val="20"/>
          <w:u w:val="single"/>
        </w:rPr>
        <w:t>Blue Sky Qualifications</w:t>
      </w:r>
      <w:r>
        <w:rPr>
          <w:rFonts w:ascii="Times New Roman" w:hAnsi="Times New Roman"/>
          <w:sz w:val="20"/>
        </w:rPr>
        <w:t xml:space="preserve">. The Company shall use its best efforts, in cooperation with the Underwriters, if necessary, to qualify the Public Securities for offering and sale under the applicable securities laws of such states and other jurisdictions (domestic or foreign) as the Representative may designate and to maintain such qualifications in effect so long as required to complete the distribution of the Public Securities;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w:t>
      </w:r>
    </w:p>
    <w:p>
      <w:pPr>
        <w:pStyle w:val="TextBody"/>
        <w:bidi w:val="0"/>
        <w:spacing w:before="240" w:after="0"/>
        <w:jc w:val="left"/>
        <w:rPr>
          <w:rFonts w:ascii="Times New Roman" w:hAnsi="Times New Roman"/>
          <w:sz w:val="20"/>
        </w:rPr>
      </w:pPr>
      <w:r>
        <w:rPr>
          <w:rFonts w:ascii="Times New Roman" w:hAnsi="Times New Roman"/>
          <w:sz w:val="20"/>
        </w:rPr>
        <w:t xml:space="preserve">3.20 </w:t>
      </w:r>
      <w:r>
        <w:rPr>
          <w:rFonts w:ascii="Times New Roman" w:hAnsi="Times New Roman"/>
          <w:sz w:val="20"/>
          <w:u w:val="single"/>
        </w:rPr>
        <w:t>Reporting Requirements</w:t>
      </w:r>
      <w:r>
        <w:rPr>
          <w:rFonts w:ascii="Times New Roman" w:hAnsi="Times New Roman"/>
          <w:sz w:val="20"/>
        </w:rPr>
        <w:t xml:space="preserve">. The Company, during the period when a prospectus relating to the Public Securities is (or, but for the exception afforded by Rule 172, would be) required to be delivered under the Securities Act, will file all documents required to be filed with the Commission pursuant to the Exchange Act within the time periods required by the Exchange Act and Exchange Act Regulations. Additionally, the Company shall report the use of proceeds from the issuance of the Public Securities as may be required under Rule 463 under the Securities Act Regulations. </w:t>
      </w:r>
    </w:p>
    <w:p>
      <w:pPr>
        <w:pStyle w:val="TextBody"/>
        <w:bidi w:val="0"/>
        <w:spacing w:before="240" w:after="0"/>
        <w:jc w:val="left"/>
        <w:rPr>
          <w:rFonts w:ascii="Times New Roman" w:hAnsi="Times New Roman"/>
          <w:sz w:val="20"/>
        </w:rPr>
      </w:pPr>
      <w:r>
        <w:rPr>
          <w:rFonts w:ascii="Times New Roman" w:hAnsi="Times New Roman"/>
          <w:sz w:val="20"/>
        </w:rPr>
        <w:t xml:space="preserve">3.21 </w:t>
      </w:r>
      <w:r>
        <w:rPr>
          <w:rFonts w:ascii="Times New Roman" w:hAnsi="Times New Roman"/>
          <w:sz w:val="20"/>
          <w:u w:val="single"/>
        </w:rPr>
        <w:t>Sarbanes Oxley</w:t>
      </w:r>
      <w:r>
        <w:rPr>
          <w:rFonts w:ascii="Times New Roman" w:hAnsi="Times New Roman"/>
          <w:sz w:val="20"/>
        </w:rPr>
        <w:t xml:space="preserve">. The Disclosure Package and Prospectus, the Company shall at all times comply with all applicable provisions of the Sarbanes Oxley Act in effect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3.22 </w:t>
      </w:r>
      <w:r>
        <w:rPr>
          <w:rFonts w:ascii="Times New Roman" w:hAnsi="Times New Roman"/>
          <w:sz w:val="20"/>
          <w:u w:val="single"/>
        </w:rPr>
        <w:t>Press Releases</w:t>
      </w:r>
      <w:r>
        <w:rPr>
          <w:rFonts w:ascii="Times New Roman" w:hAnsi="Times New Roman"/>
          <w:sz w:val="20"/>
        </w:rPr>
        <w:t xml:space="preserve">. Prior to the Closing Date, the Company shall not issue any press release or other communication directly or indirectly or hold any press conference with respect to the Company, its condition, financial, or otherwise, or earnings, business affairs, or business prospects (except for routine oral marketing communications in the ordinary course of business and consistent with the past practices of the Company and of which the Representative is notified), without the prior written consent of the Representative, which consent shall not be unreasonably withheld, unless in the judgment of the Company and its counsel, and after notification to the Representative, such press release or communication is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Conditions of Underwriters’ Obligations</w:t>
      </w:r>
      <w:r>
        <w:rPr>
          <w:rFonts w:ascii="Times New Roman" w:hAnsi="Times New Roman"/>
          <w:sz w:val="20"/>
        </w:rPr>
        <w:t xml:space="preserve">. The obligations of the Underwriters to purchase and pay for the Public Securities, as provided herein, shall be subject to (i) the continuing accuracy of the representations and warranties of the Company as of the date hereof and as of each of the Closing Date and the Option Closing Date, if any; (ii) the accuracy of the statements of officers of the Company made pursuant to the provisions hereof; (iii) the performance by the Company of its obligations hereunder; and (iv) the following conditions: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Regulatory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4.1.1. </w:t>
      </w:r>
      <w:r>
        <w:rPr>
          <w:rFonts w:ascii="Times New Roman" w:hAnsi="Times New Roman"/>
          <w:sz w:val="20"/>
          <w:u w:val="single"/>
        </w:rPr>
        <w:t>Effectiveness of Registration Statement; Rule 430A Information</w:t>
      </w:r>
      <w:r>
        <w:rPr>
          <w:rFonts w:ascii="Times New Roman" w:hAnsi="Times New Roman"/>
          <w:sz w:val="20"/>
        </w:rPr>
        <w:t xml:space="preserve">. The Registration Statement has become effective not later than 5:00 p.m., Eastern time, on the date of this Agreement or such later date and time as shall be consented to in writing by you, and, at each of the Closing Date and any Option Closing Date, no stop order suspending the effectiveness of the Registration Statement or any post-effective amendment thereto has been issued under the Securities Act, no order preventing or suspending the use of any Preliminary Prospectus or the Prospectus has been issued and no proceedings for any of those purposes have been instituted or are pending or, to the Company’s knowledge, contemplated by the Commission. The Company has complied with each request (if any) from the Commission for additional information. The Prospectus containing the Rule 430A Information shall have been filed with the Commission in the manner and within the time frame required by Rule 424(b) (without reliance on Rule 424(b)(8)) or a post-effective amendment providing such information shall have been filed with, and declared effective by, the Commission in accordance with the requirements of Rule 430A. </w:t>
      </w:r>
    </w:p>
    <w:p>
      <w:pPr>
        <w:pStyle w:val="TextBody"/>
        <w:bidi w:val="0"/>
        <w:spacing w:before="240" w:after="0"/>
        <w:jc w:val="left"/>
        <w:rPr>
          <w:rFonts w:ascii="Times New Roman" w:hAnsi="Times New Roman"/>
          <w:sz w:val="20"/>
        </w:rPr>
      </w:pPr>
      <w:r>
        <w:rPr>
          <w:rFonts w:ascii="Times New Roman" w:hAnsi="Times New Roman"/>
          <w:sz w:val="20"/>
        </w:rPr>
        <w:t xml:space="preserve">4.1.2. </w:t>
      </w:r>
      <w:r>
        <w:rPr>
          <w:rFonts w:ascii="Times New Roman" w:hAnsi="Times New Roman"/>
          <w:sz w:val="20"/>
          <w:u w:val="single"/>
        </w:rPr>
        <w:t>FINRA Clearance</w:t>
      </w:r>
      <w:r>
        <w:rPr>
          <w:rFonts w:ascii="Times New Roman" w:hAnsi="Times New Roman"/>
          <w:sz w:val="20"/>
        </w:rPr>
        <w:t xml:space="preserve">. On or before the date of this Agreement, the Representative shall have received clearance from FINRA as to the amount of compensation allowable or payable to the Underwriters as described in the Registration Statement.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4.1.3. </w:t>
      </w:r>
      <w:r>
        <w:rPr>
          <w:rFonts w:ascii="Times New Roman" w:hAnsi="Times New Roman"/>
          <w:sz w:val="20"/>
          <w:u w:val="single"/>
        </w:rPr>
        <w:t>Exchange Stock Market Clearance</w:t>
      </w:r>
      <w:r>
        <w:rPr>
          <w:rFonts w:ascii="Times New Roman" w:hAnsi="Times New Roman"/>
          <w:sz w:val="20"/>
        </w:rPr>
        <w:t xml:space="preserve">. On the Closing Date and the Option Closing Date, if any, the Company’s shares of Common Stock shall have been approved for listing on the Exchange. Prior to the Closing Date and the Option Closing Date, if any, the Company shall have submitted a Listing of Additional Shares Notification Form to the Exchange for the Public Securities.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Company Counsel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4.2.1. </w:t>
      </w:r>
      <w:r>
        <w:rPr>
          <w:rFonts w:ascii="Times New Roman" w:hAnsi="Times New Roman"/>
          <w:sz w:val="20"/>
          <w:u w:val="single"/>
        </w:rPr>
        <w:t>Closing Date Opinion of Counsel</w:t>
      </w:r>
      <w:r>
        <w:rPr>
          <w:rFonts w:ascii="Times New Roman" w:hAnsi="Times New Roman"/>
          <w:sz w:val="20"/>
        </w:rPr>
        <w:t>. On the Closing Date, the Representative shall have received the favorable opinion and negative assurance letter of Greenberg Traurig, LLP, counsel to the Company (the “</w:t>
      </w:r>
      <w:r>
        <w:rPr>
          <w:rFonts w:ascii="Times New Roman" w:hAnsi="Times New Roman"/>
          <w:b/>
          <w:sz w:val="20"/>
        </w:rPr>
        <w:t>Company Counsel</w:t>
      </w:r>
      <w:r>
        <w:rPr>
          <w:rFonts w:ascii="Times New Roman" w:hAnsi="Times New Roman"/>
          <w:sz w:val="20"/>
        </w:rPr>
        <w:t xml:space="preserve">”), as to the federal law of the United States of America and the law of the State of New York, dated the Closing Date and addressed to the Representative, in form and substance acceptable to the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4.2.2. </w:t>
      </w:r>
      <w:r>
        <w:rPr>
          <w:rFonts w:ascii="Times New Roman" w:hAnsi="Times New Roman"/>
          <w:sz w:val="20"/>
          <w:u w:val="single"/>
        </w:rPr>
        <w:t>Opinion of Special Intellectual Property Counsel for the Company</w:t>
      </w:r>
      <w:r>
        <w:rPr>
          <w:rFonts w:ascii="Times New Roman" w:hAnsi="Times New Roman"/>
          <w:sz w:val="20"/>
        </w:rPr>
        <w:t>. On the Closing Date, the Representative shall have received the opinion of Cooley, LLP, special intellectual property counsel for the Company (the “</w:t>
      </w:r>
      <w:r>
        <w:rPr>
          <w:rFonts w:ascii="Times New Roman" w:hAnsi="Times New Roman"/>
          <w:b/>
          <w:sz w:val="20"/>
        </w:rPr>
        <w:t>Company IP Counsel</w:t>
      </w:r>
      <w:r>
        <w:rPr>
          <w:rFonts w:ascii="Times New Roman" w:hAnsi="Times New Roman"/>
          <w:sz w:val="20"/>
        </w:rPr>
        <w:t xml:space="preserve">”), dated the Closing Date, addressed to the Representative, in form and substance acceptable to the Representative. </w:t>
      </w:r>
    </w:p>
    <w:p>
      <w:pPr>
        <w:pStyle w:val="TextBody"/>
        <w:bidi w:val="0"/>
        <w:spacing w:before="240" w:after="0"/>
        <w:jc w:val="left"/>
        <w:rPr>
          <w:rFonts w:ascii="Times New Roman" w:hAnsi="Times New Roman"/>
          <w:sz w:val="20"/>
        </w:rPr>
      </w:pPr>
      <w:r>
        <w:rPr>
          <w:rFonts w:ascii="Times New Roman" w:hAnsi="Times New Roman"/>
          <w:sz w:val="20"/>
        </w:rPr>
        <w:t xml:space="preserve">4.2.3. </w:t>
      </w:r>
      <w:r>
        <w:rPr>
          <w:rFonts w:ascii="Times New Roman" w:hAnsi="Times New Roman"/>
          <w:sz w:val="20"/>
          <w:u w:val="single"/>
        </w:rPr>
        <w:t>Option Closing Date Opinions of Counsel</w:t>
      </w:r>
      <w:r>
        <w:rPr>
          <w:rFonts w:ascii="Times New Roman" w:hAnsi="Times New Roman"/>
          <w:sz w:val="20"/>
        </w:rPr>
        <w:t xml:space="preserve">. On the Option Closing Date, if any, the Representative shall have received the favorable opinion and negative assurance letter of the Company Counsel and the opinion of the Company IP Counsel, each dated the Option Closing Date, addressed to the Representative and in form and substance reasonably satisfactory to the Representative, confirming as of the Option Closing Date, the statements made by such counsels in their respective opinions and letter delivered on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4.2.4. </w:t>
      </w:r>
      <w:r>
        <w:rPr>
          <w:rFonts w:ascii="Times New Roman" w:hAnsi="Times New Roman"/>
          <w:sz w:val="20"/>
          <w:u w:val="single"/>
        </w:rPr>
        <w:t>Reliance</w:t>
      </w:r>
      <w:r>
        <w:rPr>
          <w:rFonts w:ascii="Times New Roman" w:hAnsi="Times New Roman"/>
          <w:sz w:val="20"/>
        </w:rPr>
        <w:t xml:space="preserve">. In rendering such opinions, such counsel may rely: (i) as to matters involving the application of laws other than the laws of the United States and jurisdictions in which they are admitted, to the extent such counsel deems proper and to the extent specified in such opinion, if at all, upon an opinion or opinions (in form and substance reasonably satisfactory to the Representative) of other counsel reasonably acceptable to the Representative, familiar with the applicable laws; and (ii) as to matters of fact, to the extent they deem proper, on certificates or other written statements of officers of the Company and officers of departments of various jurisdictions having custody of documents respecting the corporate existence or good standing of the Company, provided that copies of any such statements or certificates shall be delivered to Representative Counsel if requested. The opinions contained in Sections 4.2.1 and 4.2.2 and any opinion relied upon with respect to the foregoing shall include a statement to the effect that it may be relied upon by Representative Counsel in its opinion delivered to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Comfort Letters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4.3.1. </w:t>
      </w:r>
      <w:r>
        <w:rPr>
          <w:rFonts w:ascii="Times New Roman" w:hAnsi="Times New Roman"/>
          <w:sz w:val="20"/>
          <w:u w:val="single"/>
        </w:rPr>
        <w:t>Cold Comfort Letter</w:t>
      </w:r>
      <w:r>
        <w:rPr>
          <w:rFonts w:ascii="Times New Roman" w:hAnsi="Times New Roman"/>
          <w:sz w:val="20"/>
        </w:rPr>
        <w:t xml:space="preserve">. At the time this Agreement is executed you shall have received a cold comfort letter containing statements and information of the type customarily included in accountants’ comfort letters with respect to the financial statements and certain financial information contained in the Registration Statement, the Pricing Disclosure Package and the Prospectus, addressed to the Representative and in form and substance satisfactory in all respects to you and to the Auditors, dated as of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4.3.2. </w:t>
      </w:r>
      <w:r>
        <w:rPr>
          <w:rFonts w:ascii="Times New Roman" w:hAnsi="Times New Roman"/>
          <w:sz w:val="20"/>
          <w:u w:val="single"/>
        </w:rPr>
        <w:t>Bring-down Comfort Letter</w:t>
      </w:r>
      <w:r>
        <w:rPr>
          <w:rFonts w:ascii="Times New Roman" w:hAnsi="Times New Roman"/>
          <w:sz w:val="20"/>
        </w:rPr>
        <w:t xml:space="preserve">. At each of the Closing Date and the Option Closing Date, if any, the Representative shall have received from the Auditors a letter, dated as of the Closing Date or the Option Closing Date, as applicable, to the effect that the Auditors reaffirms the statements made in the letter furnished pursuant to Section 4.3.1, except that the specified date referred to shall be a date not more than three (3) business days prior to the Closing Date or the Option Closing Date,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4.4 </w:t>
      </w:r>
      <w:r>
        <w:rPr>
          <w:rFonts w:ascii="Times New Roman" w:hAnsi="Times New Roman"/>
          <w:sz w:val="20"/>
          <w:u w:val="single"/>
        </w:rPr>
        <w:t>Officers’ Certificates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4.4.1. </w:t>
      </w:r>
      <w:r>
        <w:rPr>
          <w:rFonts w:ascii="Times New Roman" w:hAnsi="Times New Roman"/>
          <w:sz w:val="20"/>
          <w:u w:val="single"/>
        </w:rPr>
        <w:t>Officers’ Certificate</w:t>
      </w:r>
      <w:r>
        <w:rPr>
          <w:rFonts w:ascii="Times New Roman" w:hAnsi="Times New Roman"/>
          <w:sz w:val="20"/>
        </w:rPr>
        <w:t xml:space="preserve">. The Company shall have furnished to the Representative a certificate, dated the Closing Date and any Option Closing Date (if such date is other than the Closing Date), of its Chief Executive Officer, its President and its Chief Financial Officer stating that (i) such officers have carefully examined the Registration Statement, the Pricing Disclosure Package, any Issuer Free Writing Prospectus and the Prospectus and, in their opinion, the Registration Statement and each amendment thereto, as of the Applicable Time and as of the Closing Date (or any Option Closing Date if such date is other than the Closing Date) did not include any untrue statement of a material fact and did not omit to state a material fact required to be stated therein or necessary to make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statements therein not misleading, and the Pricing Disclosure Package, as of the Applicable Time and as of the Closing Date (or any Option Closing Date if such date is other than the Closing Date), any Issuer Free Writing Prospectus as of its date and as of the Closing Date (or any Option Closing Date if such date is other than the Closing Date), the Prospectus and each amendment or supplement thereto, as of the respective date thereof and as of the Closing Date, did not include any untrue statement of a material fact and did not omit to state a material fact necessary in order to make the statements therein, in the light of the circumstances in which they were made, not misleading, (ii) since the effective date of the Registration Statement, no event has occurred which should have been set forth in a supplement or amendment to the Registration Statement, the Pricing Disclosure Package or the Prospectus, (iii) to the best of their knowledge after reasonable investigation, as of the Closing Date (or any Option Closing Date if such date is other than the Closing Date), the representations and warranties of the Company in this Agreement are true and correct and the Company has complied with all agreements and satisfied all conditions on its part to be performed or satisfied hereunder at or prior to the Closing Date (or any Option Closing Date if such date is other than the Closing Date), and (iv) there has not been, subsequent to the date of the most recent audited financial statements included or incorporated by reference in the Pricing Disclosure Package, any Material Adverse Change in the financial position or results of operations of the Company, or any change or development that, singularly or in the aggregate, would involve a Material Adverse Change or a prospective Material Adverse Change, in or affecting the condition (financial or otherwise), results of operations, business, assets or prospects of the Company, except as set forth in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4.4.2. </w:t>
      </w:r>
      <w:r>
        <w:rPr>
          <w:rFonts w:ascii="Times New Roman" w:hAnsi="Times New Roman"/>
          <w:sz w:val="20"/>
          <w:u w:val="single"/>
        </w:rPr>
        <w:t>Secretary’s Certificate</w:t>
      </w:r>
      <w:r>
        <w:rPr>
          <w:rFonts w:ascii="Times New Roman" w:hAnsi="Times New Roman"/>
          <w:sz w:val="20"/>
        </w:rPr>
        <w:t xml:space="preserve">. At each of the Closing Date and the Option Closing Date, if any, the Representative shall have received a certificate of the Company signed by the Secretary of the Company, dated the Closing Date or the Option Date, as the case may be, respectively, certifying: (i) that each of the Charter and Bylaws is true and complete, has not been modified and is in full force and effect; (ii) that the resolutions of the Company’s Board of Directors relating to the Offering are in full force and effect and have not been modified; (iii) as to the accuracy and completeness of all correspondence between the Company or its counsel and the Commission; and (iv) as to the incumbency of the officers of the Company. The documents referred to in such certificate shall be attached to such certificate. </w:t>
      </w:r>
    </w:p>
    <w:p>
      <w:pPr>
        <w:pStyle w:val="TextBody"/>
        <w:bidi w:val="0"/>
        <w:spacing w:before="240" w:after="0"/>
        <w:jc w:val="left"/>
        <w:rPr>
          <w:rFonts w:ascii="Times New Roman" w:hAnsi="Times New Roman"/>
          <w:sz w:val="20"/>
        </w:rPr>
      </w:pPr>
      <w:r>
        <w:rPr>
          <w:rFonts w:ascii="Times New Roman" w:hAnsi="Times New Roman"/>
          <w:sz w:val="20"/>
        </w:rPr>
        <w:t xml:space="preserve">4.5 </w:t>
      </w:r>
      <w:r>
        <w:rPr>
          <w:rFonts w:ascii="Times New Roman" w:hAnsi="Times New Roman"/>
          <w:sz w:val="20"/>
          <w:u w:val="single"/>
        </w:rPr>
        <w:t>No Material Changes</w:t>
      </w:r>
      <w:r>
        <w:rPr>
          <w:rFonts w:ascii="Times New Roman" w:hAnsi="Times New Roman"/>
          <w:sz w:val="20"/>
        </w:rPr>
        <w:t xml:space="preserve">. Prior to and on each of the Closing Date and each Option Closing Date, if any: (i) there shall have been no Material Adverse Change or development involving a prospective material adverse change in the condition or prospects or the business activities, financial or otherwise, of the Company from the latest dates as of which such condition is set forth in the Registration Statement, the Pricing Disclosure Package and the Prospectus; (ii) no action, suit or proceeding, at law or in equity, shall have been pending or threatened against the Company or any Insider before or by any court or federal or state commission, board or other administrative agency wherein an unfavorable decision, ruling or finding may materially adversely affect the business, operations, properties, assets, prospects or financial condition or income of the Company, except as set forth in the Registration Statement, the Pricing Disclosure Package and the Prospectus; (iii) no stop order shall have been issued under the Securities Act and no proceedings therefor shall have been initiated or threatened by the Commission; and (iv) the Registration Statement, the Pricing Disclosure Package and the Prospectus and any amendments or supplements thereto shall contain all material statements which are required to be stated therein in accordance with the Securities Act and the Securities Act Regulations and shall conform in all material respects to the requirements of the Securities Act and the Securities Act Regulations, and neither the Registration Statement, the Pricing Disclosure Package nor the Prospectus nor any amendment or supplement thereto shall contain any untrue statement of a material fact or omit to state any material fact required to be stated therein or necessary to make the statements therein, in light of the circumstances under which they were made,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4.6 </w:t>
      </w:r>
      <w:r>
        <w:rPr>
          <w:rFonts w:ascii="Times New Roman" w:hAnsi="Times New Roman"/>
          <w:sz w:val="20"/>
          <w:u w:val="single"/>
        </w:rPr>
        <w:t>Corporate Proceedings</w:t>
      </w:r>
      <w:r>
        <w:rPr>
          <w:rFonts w:ascii="Times New Roman" w:hAnsi="Times New Roman"/>
          <w:sz w:val="20"/>
        </w:rPr>
        <w:t xml:space="preserve">. All corporate proceedings and other legal matters incident to the authorization, form and validity of each of this Agreement, the Public Securities, the Registration Statement, the Disclosure Package and the Prospectus and all other legal matters relating to this Agreement and the transactions contemplated hereby and thereby shall be reasonably satisfactory in all material respects to counsel for the Underwriters, and the Company shall have furnished to such counsel all documents and information that they may reasonably request to enable them to pass upon such matters.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4.7 </w:t>
      </w:r>
      <w:r>
        <w:rPr>
          <w:rFonts w:ascii="Times New Roman" w:hAnsi="Times New Roman"/>
          <w:sz w:val="20"/>
          <w:u w:val="single"/>
        </w:rPr>
        <w:t>Delivery of Agreements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4.7.1. </w:t>
      </w:r>
      <w:r>
        <w:rPr>
          <w:rFonts w:ascii="Times New Roman" w:hAnsi="Times New Roman"/>
          <w:sz w:val="20"/>
          <w:u w:val="single"/>
        </w:rPr>
        <w:t>Lock-Up Agreements</w:t>
      </w:r>
      <w:r>
        <w:rPr>
          <w:rFonts w:ascii="Times New Roman" w:hAnsi="Times New Roman"/>
          <w:sz w:val="20"/>
        </w:rPr>
        <w:t xml:space="preserve">. On or before the date of this Agreement, the Company shall have delivered to the Representative executed copies of the Lock-Up Agreements from each of the persons listed in </w:t>
      </w:r>
      <w:r>
        <w:rPr>
          <w:rFonts w:ascii="Times New Roman" w:hAnsi="Times New Roman"/>
          <w:sz w:val="20"/>
          <w:u w:val="single"/>
        </w:rPr>
        <w:t>Schedule 3</w:t>
      </w:r>
      <w:r>
        <w:rPr>
          <w:rFonts w:ascii="Times New Roman" w:hAnsi="Times New Roman"/>
          <w:sz w:val="20"/>
        </w:rPr>
        <w:t xml:space="preserve"> hereto. </w:t>
      </w:r>
    </w:p>
    <w:p>
      <w:pPr>
        <w:pStyle w:val="TextBody"/>
        <w:bidi w:val="0"/>
        <w:spacing w:before="240" w:after="0"/>
        <w:jc w:val="left"/>
        <w:rPr>
          <w:rFonts w:ascii="Times New Roman" w:hAnsi="Times New Roman"/>
          <w:sz w:val="20"/>
        </w:rPr>
      </w:pPr>
      <w:r>
        <w:rPr>
          <w:rFonts w:ascii="Times New Roman" w:hAnsi="Times New Roman"/>
          <w:sz w:val="20"/>
        </w:rPr>
        <w:t xml:space="preserve">4.7.2. </w:t>
      </w:r>
      <w:r>
        <w:rPr>
          <w:rFonts w:ascii="Times New Roman" w:hAnsi="Times New Roman"/>
          <w:sz w:val="20"/>
          <w:u w:val="single"/>
        </w:rPr>
        <w:t>Representative’s Warrant Agreement</w:t>
      </w:r>
      <w:r>
        <w:rPr>
          <w:rFonts w:ascii="Times New Roman" w:hAnsi="Times New Roman"/>
          <w:sz w:val="20"/>
        </w:rPr>
        <w:t xml:space="preserve">. On the Closing Date, the Company shall have delivered to the Representative executed copies of the Representative’s Warrant Agreement. </w:t>
      </w:r>
    </w:p>
    <w:p>
      <w:pPr>
        <w:pStyle w:val="TextBody"/>
        <w:bidi w:val="0"/>
        <w:spacing w:before="240" w:after="0"/>
        <w:jc w:val="left"/>
        <w:rPr>
          <w:rFonts w:ascii="Times New Roman" w:hAnsi="Times New Roman"/>
          <w:sz w:val="20"/>
        </w:rPr>
      </w:pPr>
      <w:r>
        <w:rPr>
          <w:rFonts w:ascii="Times New Roman" w:hAnsi="Times New Roman"/>
          <w:sz w:val="20"/>
        </w:rPr>
        <w:t xml:space="preserve">4.8 </w:t>
      </w:r>
      <w:r>
        <w:rPr>
          <w:rFonts w:ascii="Times New Roman" w:hAnsi="Times New Roman"/>
          <w:sz w:val="20"/>
          <w:u w:val="single"/>
        </w:rPr>
        <w:t>Additional Documents</w:t>
      </w:r>
      <w:r>
        <w:rPr>
          <w:rFonts w:ascii="Times New Roman" w:hAnsi="Times New Roman"/>
          <w:sz w:val="20"/>
        </w:rPr>
        <w:t xml:space="preserve">. At the Closing Date and at each Option Closing Date (if any) Representative Counsel shall have been furnished with such documents and opinions as they may require for the purpose of enabling Representative Counsel to deliver an opinion to the Underwriters, or in order to evidence the accuracy of any of the representations or warranties, or the fulfillment of any of the conditions, herein contained; and all proceedings taken by the Company in connection with the issuance and sale of the Public Securities and the Representative’s Securities as herein contemplated shall be satisfactory in form and substance to the Representative and Representative Counsel.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Indemnification of the Underwriters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5.1.1. </w:t>
      </w:r>
      <w:r>
        <w:rPr>
          <w:rFonts w:ascii="Times New Roman" w:hAnsi="Times New Roman"/>
          <w:sz w:val="20"/>
          <w:u w:val="single"/>
        </w:rPr>
        <w:t>General</w:t>
      </w:r>
      <w:r>
        <w:rPr>
          <w:rFonts w:ascii="Times New Roman" w:hAnsi="Times New Roman"/>
          <w:sz w:val="20"/>
        </w:rPr>
        <w:t>. Subject to the conditions set forth below, the Company agrees to indemnify and hold harmless each Underwriter, its affiliates and each of its and their respective directors, officers, members, employees, representatives, partners, shareholders, affiliates, counsel, and agents and each person, if any, who controls any such Underwriter within the meaning of Section 15 of the Securities Act or Section 20 of the Exchange Act (collectively the “</w:t>
      </w:r>
      <w:r>
        <w:rPr>
          <w:rFonts w:ascii="Times New Roman" w:hAnsi="Times New Roman"/>
          <w:b/>
          <w:sz w:val="20"/>
        </w:rPr>
        <w:t>Underwriter Indemnified Parties</w:t>
      </w:r>
      <w:r>
        <w:rPr>
          <w:rFonts w:ascii="Times New Roman" w:hAnsi="Times New Roman"/>
          <w:sz w:val="20"/>
        </w:rPr>
        <w:t>,” and each an “</w:t>
      </w:r>
      <w:r>
        <w:rPr>
          <w:rFonts w:ascii="Times New Roman" w:hAnsi="Times New Roman"/>
          <w:b/>
          <w:sz w:val="20"/>
        </w:rPr>
        <w:t>Underwriter Indemnified Party</w:t>
      </w:r>
      <w:r>
        <w:rPr>
          <w:rFonts w:ascii="Times New Roman" w:hAnsi="Times New Roman"/>
          <w:sz w:val="20"/>
        </w:rPr>
        <w:t>”), against any and all loss, liability, claim, damage and expense whatsoever (including but not limited to any and all legal or other expenses reasonably incurred in investigating, preparing or defending against any litigation, commenced or threatened, or any claim whatsoever, whether arising out of any action between any of the Underwriter Indemnified Parties and the Company or between any of the Underwriter Indemnified Parties and any third party, or otherwise) to which they or any of them may become subject under the Securities Act, the Exchange Act or any other statute or at common law or otherwise or under the laws of foreign countries (a “</w:t>
      </w:r>
      <w:r>
        <w:rPr>
          <w:rFonts w:ascii="Times New Roman" w:hAnsi="Times New Roman"/>
          <w:b/>
          <w:sz w:val="20"/>
        </w:rPr>
        <w:t>Claim</w:t>
      </w:r>
      <w:r>
        <w:rPr>
          <w:rFonts w:ascii="Times New Roman" w:hAnsi="Times New Roman"/>
          <w:sz w:val="20"/>
        </w:rPr>
        <w:t>”), (i) arising out of or based upon any untrue statement or alleged untrue statement of a material fact contained in (A) the Registration Statement, the Pricing Disclosure Package, any Preliminary Prospectus, the Prospectus, or in any Issuer Free Writing Prospectus (as from time to time each may be amended and supplemented); (B) any materials or information provided to investors by, or with the approval of, the Company in connection with the marketing of the Offering, including any “road show” or investor presentations made to investors by the Company (whether in person or electronically); or (C) any application or other document or written communication (in this Section 5, collectively called “</w:t>
      </w:r>
      <w:r>
        <w:rPr>
          <w:rFonts w:ascii="Times New Roman" w:hAnsi="Times New Roman"/>
          <w:b/>
          <w:sz w:val="20"/>
        </w:rPr>
        <w:t>application</w:t>
      </w:r>
      <w:r>
        <w:rPr>
          <w:rFonts w:ascii="Times New Roman" w:hAnsi="Times New Roman"/>
          <w:sz w:val="20"/>
        </w:rPr>
        <w:t>”) executed by the Company or based upon written information furnished by the Company in any jurisdiction in order to qualify the Public Securities and Representative’s Securities under the securities laws thereof or filed with the Commission, any state securities commission or agency, the Exchange or any other national securities exchange; or the omission or alleged omission therefrom of a material fact required to be stated therein or necessary to make the statements therein, in the light of the circumstances under which they were made, not misleading, unless such statement or omission was made in reliance upon, and in conformity with, the Underwriters’ Information or (ii) otherwise arising in connection with or allegedly in connection with the Offering. The Company also agrees that it will reimburse each Underwriter Indemnified Party for all fees and expenses (including but not limited to any and all legal or other expenses reasonably incurred in investigating, preparing or defending against any litigation, commenced or threatened, or any claim whatsoever, whether arising out of any action between any of the Underwriter Indemnified Parties and the Company or between any of the Underwriter Indemnified Parties and any third party, or otherwise) (collectively, the “</w:t>
      </w:r>
      <w:r>
        <w:rPr>
          <w:rFonts w:ascii="Times New Roman" w:hAnsi="Times New Roman"/>
          <w:b/>
          <w:sz w:val="20"/>
        </w:rPr>
        <w:t>Expenses</w:t>
      </w:r>
      <w:r>
        <w:rPr>
          <w:rFonts w:ascii="Times New Roman" w:hAnsi="Times New Roman"/>
          <w:sz w:val="20"/>
        </w:rPr>
        <w:t xml:space="preserve">”), and further agrees wherever and whenever possible to advance payment of Expenses as they are incurred by an Underwriter Indemnified Party in investigating, preparing, pursuing or defending any Claim. </w:t>
      </w:r>
    </w:p>
    <w:p>
      <w:pPr>
        <w:pStyle w:val="TextBody"/>
        <w:bidi w:val="0"/>
        <w:spacing w:before="240" w:after="0"/>
        <w:jc w:val="left"/>
        <w:rPr>
          <w:rFonts w:ascii="Times New Roman" w:hAnsi="Times New Roman"/>
          <w:sz w:val="20"/>
        </w:rPr>
      </w:pPr>
      <w:r>
        <w:rPr>
          <w:rFonts w:ascii="Times New Roman" w:hAnsi="Times New Roman"/>
          <w:sz w:val="20"/>
        </w:rPr>
        <w:t xml:space="preserve">5.1.2. </w:t>
      </w:r>
      <w:r>
        <w:rPr>
          <w:rFonts w:ascii="Times New Roman" w:hAnsi="Times New Roman"/>
          <w:sz w:val="20"/>
          <w:u w:val="single"/>
        </w:rPr>
        <w:t>Procedure</w:t>
      </w:r>
      <w:r>
        <w:rPr>
          <w:rFonts w:ascii="Times New Roman" w:hAnsi="Times New Roman"/>
          <w:sz w:val="20"/>
        </w:rPr>
        <w:t xml:space="preserve">. If any action is brought against an Underwriter Indemnified Party in respect of which indemnity may be sought against the Company pursuant to Section 5.1.1, such Underwriter Indemnified Party shall promptly notify the Company in writing of the institution of such action and the Company shall assume the defense of such action, including the employment and fees of counsel (subject to the approval of such Underwriter Indemnified Party) and payment of actual expenses if an Underwriter Indemnified Party requests that the Company do so. Such Underwriter Indemnified Party shall have the right to employ its or their own counsel in any such case, but the fees and expenses of such counsel shall be at the expense of the Company, and shall be advanced by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provided, however, that in no event shall the Company be liable for fees and expenses of more than one counsel (in addition to any local counsel) separate from its own counsel for all Underwriter Indemnified Parties in connection with any one action or separate but similar or related actions in the same jurisdiction arising out of the same general allegations or circumstances. The Company shall not be liable for any settlement of any action effected without its consent (which shall not be unreasonably withheld). In addition, the Company shall not, without the prior written consent of the Underwriters, settle, compromise or consent to the entry of any judgment in or otherwise seek to terminate any pending or threatened action in respect of which advancement, reimbursement, indemnification or contribution may be sought hereunder (whether or not such Underwriter Indemnified Party is a party thereto) unless such settlement, compromise, consent or termination (i) includes an unconditional release of each Underwriter Indemnified Party, acceptable to such Underwriter Indemnified Party, from all liabilities, expenses and claims arising out of such action for which indemnification or contribution may be sought and (ii) does not include a statement as to or an admission of fault, culpability or a failure to act, by or on behalf of any Underwriter Indemnified Party.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Indemnification of the Company</w:t>
      </w:r>
      <w:r>
        <w:rPr>
          <w:rFonts w:ascii="Times New Roman" w:hAnsi="Times New Roman"/>
          <w:sz w:val="20"/>
        </w:rPr>
        <w:t xml:space="preserve">. Each Underwriter, severally and not jointly, agrees to indemnify and hold harmless the Company, its directors, its officers who signed the Registration Statement and persons who control the Company within the meaning of Section 15 of the Securities Act or Section 20 of the Exchange Act against any and all loss, liability, claim, damage and expense described in the foregoing indemnity from the Company to the several Underwriters, as incurred, but only with respect to untrue statements or omissions made in the Registration Statement, any Preliminary Prospectus, the Pricing Disclosure Package or Prospectus or any amendment or supplement thereto or in any application, in reliance upon, and in strict conformity with, the Underwriters’ Information. In case any action shall be brought against the Company or any other person so indemnified based on any Preliminary Prospectus, the Registration Statement, the Pricing Disclosure Package or Prospectus or any amendment or supplement thereto or any application, and in respect of which indemnity may be sought against any Underwriter, such Underwriter shall have the rights and duties given to the Company, and the Company and each other person so indemnified shall have the rights and duties given to the several Underwriters by the provisions of Section 5.1.2. The Company agrees promptly to notify the Representative of the commencement of any litigation or proceedings against the Company or any of its officers, directors or any person, if any, who controls the Company within the meaning of Section 15 of the Securities Act or Section 20 of the Exchange Act, in connection with the issuance and sale of the Public Securities or in connection with the Registration Statement, the Pricing Disclosure Package, the Prospectus, or any Issuer Free Writing Prospectus. </w:t>
      </w:r>
    </w:p>
    <w:p>
      <w:pPr>
        <w:pStyle w:val="TextBody"/>
        <w:bidi w:val="0"/>
        <w:spacing w:before="240" w:after="0"/>
        <w:jc w:val="left"/>
        <w:rPr>
          <w:rFonts w:ascii="Times New Roman" w:hAnsi="Times New Roman"/>
          <w:sz w:val="20"/>
        </w:rPr>
      </w:pPr>
      <w:r>
        <w:rPr>
          <w:rFonts w:ascii="Times New Roman" w:hAnsi="Times New Roman"/>
          <w:sz w:val="20"/>
        </w:rPr>
        <w:t xml:space="preserve">5.3 </w:t>
      </w:r>
      <w:r>
        <w:rPr>
          <w:rFonts w:ascii="Times New Roman" w:hAnsi="Times New Roman"/>
          <w:sz w:val="20"/>
          <w:u w:val="single"/>
        </w:rPr>
        <w:t>Contribution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5.3.1. </w:t>
      </w:r>
      <w:r>
        <w:rPr>
          <w:rFonts w:ascii="Times New Roman" w:hAnsi="Times New Roman"/>
          <w:sz w:val="20"/>
          <w:u w:val="single"/>
        </w:rPr>
        <w:t>Contribution Rights</w:t>
      </w:r>
      <w:r>
        <w:rPr>
          <w:rFonts w:ascii="Times New Roman" w:hAnsi="Times New Roman"/>
          <w:sz w:val="20"/>
        </w:rPr>
        <w:t xml:space="preserve">. If the indemnification provided for in this Section 5 shall for any reason be unavailable to or insufficient to hold harmless an indemnified party under Section 5.1 or 5.2 in respect of any loss, claim, damage or liability, or any action in respect thereof, referred to therein, then each indemnifying party shall, in lieu of indemnifying such indemnified party, contribute to the amount paid or payable by such indemnified party as a result of such loss, claim, damage or liability, or action in respect thereof, (i) in such proportion as shall be appropriate to reflect the relative benefits received by the Company, on the one hand, and the Underwriters, on the other, from the Offering of the Public Securities,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with respect to the statements or omissions that resulted in such loss, claim, damage or liability, or action in respect thereof, as well as any other relevant equitable considerations. The relative benefits received by the Company, on the one hand, and the Underwriters, on the other, with respect to such Offering shall be deemed to be in the same proportion as the total net proceeds from the Offering of the Public Securities purchased under this Agreement (before deducting expenses) received by the Company, as set forth in the table on the cover page of the Prospectus, on the one hand, and the total underwriting discounts and commissions received by the Underwriters with respect to the shares of the Common Stock purchased under this Agreement, as set forth in the table on the cover page of the Prospectus, on the other hand. The relative fault shall be determined by reference to whether the untrue or alleged untrue statement of a material fact or omission or alleged omission to state a material fact relates to information supplied by the Company or the Underwriters, the intent of the parties and their relative knowledge, access to information and opportunity to correct or prevent such statement or omission. The Company and the Underwriters agree that it would not be just and equitable if contributions pursuant to this Section 5.3.1 were to be determined by pro rata allocation (even if the Underwriters were treated as one entity for such purpose) or by any other method of allocation that does not take into account the equitable considerations referred to herein. The amount paid or payable by an indemnified party as a result of the loss,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claim, damage or liability, or action in respect thereof, referred to above in this Section 5.3.1 shall be deemed to include, for purposes of this Section 5.3.1, any legal or other expenses reasonably incurred by such indemnified party in connection with investigating or defending any such action or claim. Notwithstanding the provisions of this Section 5.3.1 in no event shall an Underwriter be required to contribute any amount in excess of the amount by which the total underwriting discounts and commissions received by such Underwriter with respect to the Offering of the Public Securities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w:t>
      </w:r>
    </w:p>
    <w:p>
      <w:pPr>
        <w:pStyle w:val="TextBody"/>
        <w:bidi w:val="0"/>
        <w:spacing w:before="240" w:after="0"/>
        <w:jc w:val="left"/>
        <w:rPr>
          <w:rFonts w:ascii="Times New Roman" w:hAnsi="Times New Roman"/>
          <w:sz w:val="20"/>
        </w:rPr>
      </w:pPr>
      <w:r>
        <w:rPr>
          <w:rFonts w:ascii="Times New Roman" w:hAnsi="Times New Roman"/>
          <w:sz w:val="20"/>
        </w:rPr>
        <w:t xml:space="preserve">5.3.2. </w:t>
      </w:r>
      <w:r>
        <w:rPr>
          <w:rFonts w:ascii="Times New Roman" w:hAnsi="Times New Roman"/>
          <w:sz w:val="20"/>
          <w:u w:val="single"/>
        </w:rPr>
        <w:t>Contribution Procedure</w:t>
      </w:r>
      <w:r>
        <w:rPr>
          <w:rFonts w:ascii="Times New Roman" w:hAnsi="Times New Roman"/>
          <w:sz w:val="20"/>
        </w:rPr>
        <w:t>. Within fifteen (15) days after receipt by any party to this Agreement (or its representative) of notice of the commencement of any action, suit or proceeding, such party will, if a claim for contribution in respect thereof is to be made against another party (“</w:t>
      </w:r>
      <w:r>
        <w:rPr>
          <w:rFonts w:ascii="Times New Roman" w:hAnsi="Times New Roman"/>
          <w:b/>
          <w:sz w:val="20"/>
        </w:rPr>
        <w:t>contributing party</w:t>
      </w:r>
      <w:r>
        <w:rPr>
          <w:rFonts w:ascii="Times New Roman" w:hAnsi="Times New Roman"/>
          <w:sz w:val="20"/>
        </w:rPr>
        <w:t xml:space="preserve">”), notify the contributing party of the commencement thereof, but the failure to so notify the contributing party will not relieve it from any liability which it may have to any other party other than for contribution hereunder to the extent such failure does not prejudice the party entitled to notice. In case any such action, suit or proceeding is brought against any party, and such party notifies a contributing party or its representative of the commencement thereof within the aforesaid 15 days, the contributing party will be entitled to participate therein with the notifying party and any other contributing party similarly notified. Any such contributing party shall not be liable to any party seeking contribution on account of any settlement of any claim, action or proceeding affected by such party seeking contribution on account of any settlement of any claim, action or proceeding affected by such party seeking contribution without the written consent of such contributing party. The contribution provisions contained in this Section 5.3.2 are intended to supersede, to the extent permitted by law, any right to contribution under the Securities Act, the Exchange Act or otherwise available. Each Underwriter’s obligations to contribute pursuant to this Section 5.3 are several and not joint.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Default by an Underwriter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Default Not Exceeding 10% of Firm Shares or Option Shares</w:t>
      </w:r>
      <w:r>
        <w:rPr>
          <w:rFonts w:ascii="Times New Roman" w:hAnsi="Times New Roman"/>
          <w:sz w:val="20"/>
        </w:rPr>
        <w:t xml:space="preserve">. If any Underwriter or Underwriters shall default in its or their obligations to purchase the Firm Shares or the Option Shares, if the Over-allotment Option is exercised hereunder, and if the number of the Firm Shares or Option Shares with respect to which such default relates does not exceed in the aggregate 10% of the number of Firm Shares or Option Shares that all Underwriters have agreed to purchase hereunder, then such Firm Shares or Option Shares to which the default relates shall be purchased by the non-defaulting Underwriters in proportion to their respective commitments hereunder.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Default Exceeding 10% of Firm Shares or Option Shares</w:t>
      </w:r>
      <w:r>
        <w:rPr>
          <w:rFonts w:ascii="Times New Roman" w:hAnsi="Times New Roman"/>
          <w:sz w:val="20"/>
        </w:rPr>
        <w:t xml:space="preserve">. In the event that the default addressed in Section 6.1 relates to more than 10% of the Firm Shares or Option Shares, you may in your discretion arrange for yourself or for another party or parties to purchase such Firm Shares or Option Shares to which such default relates on the terms contained herein. If, within one (1) Business Day after such default relating to more than 10% of the Firm Shares or Option Shares, you do not arrange for the purchase of such Firm Shares or Option Shares, then the Company shall be entitled to a further period of one (1) Business Day within which to procure another party or parties satisfactory to you to purchase said Firm Shares or Option Shares on such terms. In the event that neither you nor the Company arrange for the purchase of the Firm Shares or Option Shares to which a default relates as provided in this Section 6, this Agreement will automatically be terminated by you or the Company without liability on the part of the Company (except as provided in Sections 3.9 and 5 hereof) or the several Underwriters (except as provided in Section 5 hereof); provided, however, that if such default occurs with respect to the Option Shares, this Agreement will not terminate as to the Firm Shares; and provided, further, that nothing herein shall relieve a defaulting Underwriter of its liability, if any, to the other Underwriters and to the Company for damages occasioned by its default hereunder. </w:t>
      </w:r>
    </w:p>
    <w:p>
      <w:pPr>
        <w:pStyle w:val="TextBody"/>
        <w:bidi w:val="0"/>
        <w:spacing w:before="240" w:after="0"/>
        <w:jc w:val="left"/>
        <w:rPr>
          <w:rFonts w:ascii="Times New Roman" w:hAnsi="Times New Roman"/>
          <w:sz w:val="20"/>
        </w:rPr>
      </w:pPr>
      <w:r>
        <w:rPr>
          <w:rFonts w:ascii="Times New Roman" w:hAnsi="Times New Roman"/>
          <w:sz w:val="20"/>
        </w:rPr>
        <w:t xml:space="preserve">6.3 </w:t>
      </w:r>
      <w:r>
        <w:rPr>
          <w:rFonts w:ascii="Times New Roman" w:hAnsi="Times New Roman"/>
          <w:sz w:val="20"/>
          <w:u w:val="single"/>
        </w:rPr>
        <w:t>Postponement of Closing Date</w:t>
      </w:r>
      <w:r>
        <w:rPr>
          <w:rFonts w:ascii="Times New Roman" w:hAnsi="Times New Roman"/>
          <w:sz w:val="20"/>
        </w:rPr>
        <w:t>. In the event that the Firm Shares or Option Shares to which the default relates are to be purchased by the non-defaulting Underwriters, or are to be purchased by another party or parties as aforesaid, you or the Company shall have the right to postpone the Closing Date or Option Closing Date for a reasonable period, but not in any event exceeding five (5) Business Days, in order to effect whatever changes may thereby be made necessary in the Registration Statement, the Pricing Disclosure Package or the Prospectus or in any other documents and arrangements, and the Company agrees to file promptly any amendment to the Registration Statement, the Pricing Disclosure Package or the Prospectus that in the opinion of counsel for the Underwriter may thereby be made necessary. The term “</w:t>
      </w:r>
      <w:r>
        <w:rPr>
          <w:rFonts w:ascii="Times New Roman" w:hAnsi="Times New Roman"/>
          <w:b/>
          <w:sz w:val="20"/>
        </w:rPr>
        <w:t>Underwriter</w:t>
      </w:r>
      <w:r>
        <w:rPr>
          <w:rFonts w:ascii="Times New Roman" w:hAnsi="Times New Roman"/>
          <w:sz w:val="20"/>
        </w:rPr>
        <w:t xml:space="preserve">” as used in this Agreement shall include any party substituted under this Section 6 with like effect as if it had originally been a party to this Agreement with respect to such shares of Common Stock.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Additional Covenants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Board Composition and Board Designations</w:t>
      </w:r>
      <w:r>
        <w:rPr>
          <w:rFonts w:ascii="Times New Roman" w:hAnsi="Times New Roman"/>
          <w:sz w:val="20"/>
        </w:rPr>
        <w:t xml:space="preserve">. The Company shall ensure that: (i) the qualifications of the persons serving as members of the Board of Directors and the overall composition of the Board comply with the Sarbanes-Oxley Act, with the Exchange Act and with the listing rules of the Exchange or any other national securities exchange, as the case may be, in the event the Company seeks to have its Public Securities listed on another exchange or quoted on an automated quotation system, and (ii) if applicable, at least one member of the Audit Committee of the Board of Directors qualifies as an “audit committee financial expert,” as such term is defined under Regulation S-K and the listing rules of the Exchange. </w:t>
      </w:r>
    </w:p>
    <w:p>
      <w:pPr>
        <w:pStyle w:val="TextBody"/>
        <w:bidi w:val="0"/>
        <w:spacing w:before="24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Prohibition on Press Releases and Public Announcements</w:t>
      </w:r>
      <w:r>
        <w:rPr>
          <w:rFonts w:ascii="Times New Roman" w:hAnsi="Times New Roman"/>
          <w:sz w:val="20"/>
        </w:rPr>
        <w:t xml:space="preserve">. The Company shall not issue press releases or engage in any other publicity, without the Representative’s prior written consent, which consent will not be unreasonably withheld, delayed or conditioned, for a period ending at 5:00 p.m., Eastern time, on the first (1st) Business Day following (i) the later of the Option Closing Date and the twenty-fifth day after the Closing Date if the Over-allotment Option has been exercised in full, or (ii) the forty-fifth (45th) day after the Closing Date if the Over-allotment Option has not been exercised in full, other than normal and customary press releases or publicity issued in the ordinary course of the Company’s business.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Effective Date of this Agreement and Termination Thereof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8.1 </w:t>
      </w:r>
      <w:r>
        <w:rPr>
          <w:rFonts w:ascii="Times New Roman" w:hAnsi="Times New Roman"/>
          <w:sz w:val="20"/>
          <w:u w:val="single"/>
        </w:rPr>
        <w:t>Effective Date</w:t>
      </w:r>
      <w:r>
        <w:rPr>
          <w:rFonts w:ascii="Times New Roman" w:hAnsi="Times New Roman"/>
          <w:sz w:val="20"/>
        </w:rPr>
        <w:t xml:space="preserve">. This Agreement shall become effective when both the Company and the Representative have executed the same and delivered counterparts of such signatures to the other party. </w:t>
      </w:r>
    </w:p>
    <w:p>
      <w:pPr>
        <w:pStyle w:val="TextBody"/>
        <w:bidi w:val="0"/>
        <w:spacing w:before="240" w:after="0"/>
        <w:jc w:val="left"/>
        <w:rPr>
          <w:rFonts w:ascii="Times New Roman" w:hAnsi="Times New Roman"/>
          <w:sz w:val="20"/>
        </w:rPr>
      </w:pPr>
      <w:r>
        <w:rPr>
          <w:rFonts w:ascii="Times New Roman" w:hAnsi="Times New Roman"/>
          <w:sz w:val="20"/>
        </w:rPr>
        <w:t xml:space="preserve">8.2 </w:t>
      </w:r>
      <w:r>
        <w:rPr>
          <w:rFonts w:ascii="Times New Roman" w:hAnsi="Times New Roman"/>
          <w:sz w:val="20"/>
          <w:u w:val="single"/>
        </w:rPr>
        <w:t>Termination</w:t>
      </w:r>
      <w:r>
        <w:rPr>
          <w:rFonts w:ascii="Times New Roman" w:hAnsi="Times New Roman"/>
          <w:sz w:val="20"/>
        </w:rPr>
        <w:t xml:space="preserve">. The Representative shall have the right to terminate this Agreement at any time prior to any Closing Date, (i) if any domestic or international event or act or occurrence has materially disrupted, or in your opinion will in the immediate future materially disrupt, general securities markets in the United States; or (ii) if trading on the Exchange shall have been suspended or materially limited, or minimum or maximum prices for trading shall have been fixed, or maximum ranges for prices for securities shall have been required by FINRA or by order of the Commission or any other government authority having jurisdiction; or (iii) if the United States shall have become involved in a new war or an increase in major hostilities; or (iv) if a banking moratorium has been declared by a New York State or federal authority; or (v) if a moratorium on foreign exchange trading has been declared which materially adversely impacts the United States securities markets; or (vi) if the Company shall have sustained a material loss by fire, flood, accident, hurricane, earthquake, theft, sabotage or other calamity or malicious act which, whether or not such loss shall have been insured, will, in your opinion, make it inadvisable to proceed with the delivery of the Firm Shares or Option Shares; or (vii) if the Company is in material breach of any of its representations, warranties or covenants hereunder; or (viii) if the Representative shall have become aware after the date hereof of such a Material Adverse Change or such Adverse Material Change in general market conditions as in the Representative’s judgment would make it impracticable to proceed with the offering, sale and/or delivery of the Public Securities or to enforce contracts made by the Underwriters for the sale of the Public Securities; or (ix) the Common Stock shall fail for any reason to open for trading on the Exchange by the end of regular trading hours at the end of the term of engagement. </w:t>
      </w:r>
    </w:p>
    <w:p>
      <w:pPr>
        <w:pStyle w:val="TextBody"/>
        <w:bidi w:val="0"/>
        <w:spacing w:before="240" w:after="0"/>
        <w:jc w:val="left"/>
        <w:rPr>
          <w:rFonts w:ascii="Times New Roman" w:hAnsi="Times New Roman"/>
          <w:sz w:val="20"/>
        </w:rPr>
      </w:pPr>
      <w:r>
        <w:rPr>
          <w:rFonts w:ascii="Times New Roman" w:hAnsi="Times New Roman"/>
          <w:sz w:val="20"/>
        </w:rPr>
        <w:t xml:space="preserve">8.3 </w:t>
      </w:r>
      <w:r>
        <w:rPr>
          <w:rFonts w:ascii="Times New Roman" w:hAnsi="Times New Roman"/>
          <w:sz w:val="20"/>
          <w:u w:val="single"/>
        </w:rPr>
        <w:t>Expenses</w:t>
      </w:r>
      <w:r>
        <w:rPr>
          <w:rFonts w:ascii="Times New Roman" w:hAnsi="Times New Roman"/>
          <w:sz w:val="20"/>
        </w:rPr>
        <w:t>. Notwithstanding anything to the contrary in this Agreement, except in the case of a default by the Underwriters, pursuant to Section 6.2 above, in the event that this Agreement shall not be carried out for any reason whatsoever, within the time specified herein or any extensions thereof pursuant to the terms herein, the Company shall be obligated to pay to the Underwriters their actual and accountable out-of-pocket expenses related to the transactions contemplated herein then due and payable (including the fees and disbursements of Representative Counsel) up to $150,000 inclusive of the $30,000 advance for accountable expenses previously paid by the Company to the Representative to the extent such expenses are actually incurred (the “</w:t>
      </w:r>
      <w:r>
        <w:rPr>
          <w:rFonts w:ascii="Times New Roman" w:hAnsi="Times New Roman"/>
          <w:b/>
          <w:sz w:val="20"/>
        </w:rPr>
        <w:t>Advance</w:t>
      </w:r>
      <w:r>
        <w:rPr>
          <w:rFonts w:ascii="Times New Roman" w:hAnsi="Times New Roman"/>
          <w:sz w:val="20"/>
        </w:rPr>
        <w:t xml:space="preserve">”) and upon demand the Company shall pay the full amount thereof to the Representative on behalf of the Underwriters; provided, however, that such expense cap in no way limits or impairs the indemnification and contribution provisions of this Agreement. Notwithstanding the foregoing, any advance received by the Representative will be reimbursed to the Company to the extent not actually incurred in compliance with FINRA Rule 5110(g)(4)(A). The Company shall reimburse the Representative for incurred expenses. All incurred expenses shall be preapproved in writing and prepaid by the Company, including due diligence expenses.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8.4 </w:t>
      </w:r>
      <w:r>
        <w:rPr>
          <w:rFonts w:ascii="Times New Roman" w:hAnsi="Times New Roman"/>
          <w:sz w:val="20"/>
          <w:u w:val="single"/>
        </w:rPr>
        <w:t>Indemnification</w:t>
      </w:r>
      <w:r>
        <w:rPr>
          <w:rFonts w:ascii="Times New Roman" w:hAnsi="Times New Roman"/>
          <w:sz w:val="20"/>
        </w:rPr>
        <w:t xml:space="preserve">. Notwithstanding any contrary provision contained in this Agreement, any election hereunder or any termination of this Agreement, and whether or not this Agreement is otherwise carried out, the provisions of Section 5 shall remain in full force and effect and shall not be in any way affected by, such election or termination or failure to carry out the terms of this Agreement or any part hereof. </w:t>
      </w:r>
    </w:p>
    <w:p>
      <w:pPr>
        <w:pStyle w:val="TextBody"/>
        <w:bidi w:val="0"/>
        <w:spacing w:before="240" w:after="0"/>
        <w:jc w:val="left"/>
        <w:rPr>
          <w:rFonts w:ascii="Times New Roman" w:hAnsi="Times New Roman"/>
          <w:sz w:val="20"/>
        </w:rPr>
      </w:pPr>
      <w:r>
        <w:rPr>
          <w:rFonts w:ascii="Times New Roman" w:hAnsi="Times New Roman"/>
          <w:sz w:val="20"/>
        </w:rPr>
        <w:t xml:space="preserve">8.5 </w:t>
      </w:r>
      <w:r>
        <w:rPr>
          <w:rFonts w:ascii="Times New Roman" w:hAnsi="Times New Roman"/>
          <w:sz w:val="20"/>
          <w:u w:val="single"/>
        </w:rPr>
        <w:t>Representations, Warranties, Agreements to Survive</w:t>
      </w:r>
      <w:r>
        <w:rPr>
          <w:rFonts w:ascii="Times New Roman" w:hAnsi="Times New Roman"/>
          <w:sz w:val="20"/>
        </w:rPr>
        <w:t xml:space="preserve">. All representations, warranties and agreements contained in this Agreement or in certificates of officers of the Company submitted pursuant hereto, shall remain operative and in full force and effect regardless of (i) any investigation made by or on behalf of any Underwriter or its Affiliates or selling agents, any person controlling any Underwriter, its officers or directors or any person controlling the Company or (ii) delivery of and payment for the Public Securities.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9.1 </w:t>
      </w:r>
      <w:r>
        <w:rPr>
          <w:rFonts w:ascii="Times New Roman" w:hAnsi="Times New Roman"/>
          <w:sz w:val="20"/>
          <w:u w:val="single"/>
        </w:rPr>
        <w:t>Notices</w:t>
      </w:r>
      <w:r>
        <w:rPr>
          <w:rFonts w:ascii="Times New Roman" w:hAnsi="Times New Roman"/>
          <w:sz w:val="20"/>
        </w:rPr>
        <w:t>. All communications hereunder, except as herein otherwise specifically provided, shall be in writing and shall be mailed (registered or certified mail, return receipt requested), personally delivered or sent by electronic mail transmission and confirmed and shall be deemed given when so delivered and confirmed or if mailed, two (2) days after such mailing</w:t>
      </w:r>
      <w:r>
        <w:rPr>
          <w:rFonts w:ascii="Times New Roman" w:hAnsi="Times New Roman"/>
          <w:b/>
          <w:i/>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to the Representative: </w:t>
      </w:r>
    </w:p>
    <w:p>
      <w:pPr>
        <w:pStyle w:val="TextBody"/>
        <w:bidi w:val="0"/>
        <w:spacing w:before="120" w:after="0"/>
        <w:jc w:val="left"/>
        <w:rPr>
          <w:rFonts w:ascii="Times New Roman" w:hAnsi="Times New Roman"/>
          <w:sz w:val="20"/>
        </w:rPr>
      </w:pPr>
      <w:r>
        <w:rPr>
          <w:rFonts w:ascii="Times New Roman" w:hAnsi="Times New Roman"/>
          <w:sz w:val="20"/>
        </w:rPr>
        <w:t xml:space="preserve">Konik Capital Partners, LLC </w:t>
      </w:r>
    </w:p>
    <w:p>
      <w:pPr>
        <w:pStyle w:val="TextBody"/>
        <w:bidi w:val="0"/>
        <w:spacing w:before="0" w:after="0"/>
        <w:jc w:val="left"/>
        <w:rPr>
          <w:rFonts w:ascii="Times New Roman" w:hAnsi="Times New Roman"/>
          <w:sz w:val="20"/>
        </w:rPr>
      </w:pPr>
      <w:r>
        <w:rPr>
          <w:rFonts w:ascii="Times New Roman" w:hAnsi="Times New Roman"/>
          <w:sz w:val="20"/>
        </w:rPr>
        <w:t xml:space="preserve">7 World Trade Center, 46th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NY 10007 </w:t>
      </w:r>
    </w:p>
    <w:p>
      <w:pPr>
        <w:pStyle w:val="TextBody"/>
        <w:bidi w:val="0"/>
        <w:spacing w:before="0" w:after="0"/>
        <w:jc w:val="left"/>
        <w:rPr>
          <w:rFonts w:ascii="Times New Roman" w:hAnsi="Times New Roman"/>
          <w:sz w:val="20"/>
        </w:rPr>
      </w:pPr>
      <w:r>
        <w:rPr>
          <w:rFonts w:ascii="Times New Roman" w:hAnsi="Times New Roman"/>
          <w:sz w:val="20"/>
        </w:rPr>
        <w:t xml:space="preserve">Attn: Ryan Konik </w:t>
      </w:r>
    </w:p>
    <w:p>
      <w:pPr>
        <w:pStyle w:val="TextBody"/>
        <w:bidi w:val="0"/>
        <w:spacing w:before="0" w:after="0"/>
        <w:jc w:val="left"/>
        <w:rPr>
          <w:rFonts w:ascii="Times New Roman" w:hAnsi="Times New Roman"/>
          <w:sz w:val="20"/>
        </w:rPr>
      </w:pPr>
      <w:r>
        <w:rPr>
          <w:rFonts w:ascii="Times New Roman" w:hAnsi="Times New Roman"/>
          <w:sz w:val="20"/>
        </w:rPr>
        <w:t xml:space="preserve">e-mail: rkonik@konikcapitalpartners.com </w:t>
      </w:r>
    </w:p>
    <w:p>
      <w:pPr>
        <w:pStyle w:val="TextBody"/>
        <w:bidi w:val="0"/>
        <w:spacing w:before="24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Lucosky Brookman LLP </w:t>
      </w:r>
    </w:p>
    <w:p>
      <w:pPr>
        <w:pStyle w:val="TextBody"/>
        <w:bidi w:val="0"/>
        <w:spacing w:before="0" w:after="0"/>
        <w:jc w:val="left"/>
        <w:rPr>
          <w:rFonts w:ascii="Times New Roman" w:hAnsi="Times New Roman"/>
          <w:sz w:val="20"/>
        </w:rPr>
      </w:pPr>
      <w:r>
        <w:rPr>
          <w:rFonts w:ascii="Times New Roman" w:hAnsi="Times New Roman"/>
          <w:sz w:val="20"/>
        </w:rPr>
        <w:t xml:space="preserve">101 Wood Avenue South, 5th Floor </w:t>
      </w:r>
    </w:p>
    <w:p>
      <w:pPr>
        <w:pStyle w:val="TextBody"/>
        <w:bidi w:val="0"/>
        <w:spacing w:before="0" w:after="0"/>
        <w:jc w:val="left"/>
        <w:rPr>
          <w:rFonts w:ascii="Times New Roman" w:hAnsi="Times New Roman"/>
          <w:sz w:val="20"/>
        </w:rPr>
      </w:pPr>
      <w:r>
        <w:rPr>
          <w:rFonts w:ascii="Times New Roman" w:hAnsi="Times New Roman"/>
          <w:sz w:val="20"/>
        </w:rPr>
        <w:t xml:space="preserve">Woodbridge, NJ 08830 </w:t>
      </w:r>
    </w:p>
    <w:p>
      <w:pPr>
        <w:pStyle w:val="TextBody"/>
        <w:bidi w:val="0"/>
        <w:spacing w:before="0" w:after="0"/>
        <w:jc w:val="left"/>
        <w:rPr>
          <w:rFonts w:ascii="Times New Roman" w:hAnsi="Times New Roman"/>
          <w:sz w:val="20"/>
        </w:rPr>
      </w:pPr>
      <w:r>
        <w:rPr>
          <w:rFonts w:ascii="Times New Roman" w:hAnsi="Times New Roman"/>
          <w:sz w:val="20"/>
        </w:rPr>
        <w:t xml:space="preserve">Attn: Joseph M. Lucosky, Esq. </w:t>
      </w:r>
    </w:p>
    <w:p>
      <w:pPr>
        <w:pStyle w:val="TextBody"/>
        <w:bidi w:val="0"/>
        <w:spacing w:before="0" w:after="0"/>
        <w:jc w:val="left"/>
        <w:rPr>
          <w:rFonts w:ascii="Times New Roman" w:hAnsi="Times New Roman"/>
          <w:sz w:val="20"/>
        </w:rPr>
      </w:pPr>
      <w:r>
        <w:rPr>
          <w:rFonts w:ascii="Times New Roman" w:hAnsi="Times New Roman"/>
          <w:sz w:val="20"/>
        </w:rPr>
        <w:t xml:space="preserve">e-mail: jlucosky@lucbro.com </w:t>
      </w:r>
    </w:p>
    <w:p>
      <w:pPr>
        <w:pStyle w:val="TextBody"/>
        <w:bidi w:val="0"/>
        <w:spacing w:before="240" w:after="0"/>
        <w:jc w:val="left"/>
        <w:rPr>
          <w:rFonts w:ascii="Times New Roman" w:hAnsi="Times New Roman"/>
          <w:sz w:val="20"/>
        </w:rPr>
      </w:pPr>
      <w:r>
        <w:rPr>
          <w:rFonts w:ascii="Times New Roman" w:hAnsi="Times New Roman"/>
          <w:sz w:val="20"/>
        </w:rPr>
        <w:t xml:space="preserve">If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Rein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12407 N. Mopac Expy., Suite 250, #390 </w:t>
      </w:r>
    </w:p>
    <w:p>
      <w:pPr>
        <w:pStyle w:val="TextBody"/>
        <w:bidi w:val="0"/>
        <w:spacing w:before="0" w:after="0"/>
        <w:jc w:val="left"/>
        <w:rPr>
          <w:rFonts w:ascii="Times New Roman" w:hAnsi="Times New Roman"/>
          <w:sz w:val="20"/>
        </w:rPr>
      </w:pPr>
      <w:r>
        <w:rPr>
          <w:rFonts w:ascii="Times New Roman" w:hAnsi="Times New Roman"/>
          <w:sz w:val="20"/>
        </w:rPr>
        <w:t xml:space="preserve">Austin, Texas 78758Attention: Brian Windsor </w:t>
      </w:r>
    </w:p>
    <w:p>
      <w:pPr>
        <w:pStyle w:val="TextBody"/>
        <w:bidi w:val="0"/>
        <w:spacing w:before="0" w:after="0"/>
        <w:jc w:val="left"/>
        <w:rPr>
          <w:rFonts w:ascii="Times New Roman" w:hAnsi="Times New Roman"/>
          <w:sz w:val="20"/>
        </w:rPr>
      </w:pPr>
      <w:r>
        <w:rPr>
          <w:rFonts w:ascii="Times New Roman" w:hAnsi="Times New Roman"/>
          <w:sz w:val="20"/>
        </w:rPr>
        <w:t xml:space="preserve">e-mail: bwindsor@reintx.com </w:t>
      </w:r>
    </w:p>
    <w:p>
      <w:pPr>
        <w:pStyle w:val="TextBody"/>
        <w:bidi w:val="0"/>
        <w:spacing w:before="24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Greenberg Traurig, LLP </w:t>
      </w:r>
    </w:p>
    <w:p>
      <w:pPr>
        <w:pStyle w:val="TextBody"/>
        <w:bidi w:val="0"/>
        <w:spacing w:before="0" w:after="0"/>
        <w:jc w:val="left"/>
        <w:rPr>
          <w:rFonts w:ascii="Times New Roman" w:hAnsi="Times New Roman"/>
          <w:sz w:val="20"/>
        </w:rPr>
      </w:pPr>
      <w:r>
        <w:rPr>
          <w:rFonts w:ascii="Times New Roman" w:hAnsi="Times New Roman"/>
          <w:sz w:val="20"/>
        </w:rPr>
        <w:t xml:space="preserve">18565 Jamboree Road, Suite 500 </w:t>
      </w:r>
    </w:p>
    <w:p>
      <w:pPr>
        <w:pStyle w:val="TextBody"/>
        <w:bidi w:val="0"/>
        <w:spacing w:before="0" w:after="0"/>
        <w:jc w:val="left"/>
        <w:rPr>
          <w:rFonts w:ascii="Times New Roman" w:hAnsi="Times New Roman"/>
          <w:sz w:val="20"/>
        </w:rPr>
      </w:pPr>
      <w:r>
        <w:rPr>
          <w:rFonts w:ascii="Times New Roman" w:hAnsi="Times New Roman"/>
          <w:sz w:val="20"/>
        </w:rPr>
        <w:t xml:space="preserve">Irvine, CA 92612 </w:t>
      </w:r>
    </w:p>
    <w:p>
      <w:pPr>
        <w:pStyle w:val="TextBody"/>
        <w:bidi w:val="0"/>
        <w:spacing w:before="0" w:after="0"/>
        <w:jc w:val="left"/>
        <w:rPr>
          <w:rFonts w:ascii="Times New Roman" w:hAnsi="Times New Roman"/>
          <w:sz w:val="20"/>
        </w:rPr>
      </w:pPr>
      <w:r>
        <w:rPr>
          <w:rFonts w:ascii="Times New Roman" w:hAnsi="Times New Roman"/>
          <w:sz w:val="20"/>
        </w:rPr>
        <w:t xml:space="preserve">Attention: Daniel K. Donahue, Esq. </w:t>
      </w:r>
    </w:p>
    <w:p>
      <w:pPr>
        <w:pStyle w:val="TextBody"/>
        <w:bidi w:val="0"/>
        <w:spacing w:before="0" w:after="0"/>
        <w:jc w:val="left"/>
        <w:rPr>
          <w:rFonts w:ascii="Times New Roman" w:hAnsi="Times New Roman"/>
          <w:sz w:val="20"/>
        </w:rPr>
      </w:pPr>
      <w:r>
        <w:rPr>
          <w:rFonts w:ascii="Times New Roman" w:hAnsi="Times New Roman"/>
          <w:sz w:val="20"/>
        </w:rPr>
        <w:t xml:space="preserve">e-mail: donahued@gtlaw.com </w:t>
      </w:r>
    </w:p>
    <w:p>
      <w:pPr>
        <w:pStyle w:val="TextBody"/>
        <w:bidi w:val="0"/>
        <w:spacing w:before="240" w:after="0"/>
        <w:jc w:val="left"/>
        <w:rPr>
          <w:rFonts w:ascii="Times New Roman" w:hAnsi="Times New Roman"/>
          <w:sz w:val="20"/>
        </w:rPr>
      </w:pPr>
      <w:r>
        <w:rPr>
          <w:rFonts w:ascii="Times New Roman" w:hAnsi="Times New Roman"/>
          <w:sz w:val="20"/>
        </w:rPr>
        <w:t xml:space="preserve">9.2 </w:t>
      </w:r>
      <w:r>
        <w:rPr>
          <w:rFonts w:ascii="Times New Roman" w:hAnsi="Times New Roman"/>
          <w:sz w:val="20"/>
          <w:u w:val="single"/>
        </w:rPr>
        <w:t>Headings</w:t>
      </w:r>
      <w:r>
        <w:rPr>
          <w:rFonts w:ascii="Times New Roman" w:hAnsi="Times New Roman"/>
          <w:sz w:val="20"/>
        </w:rPr>
        <w:t xml:space="preserve">. The headings contained herein are for the sole purpose of convenience of reference, and shall not in any way limit or affect the meaning or interpretation of any of the terms or provisions of this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9.3 </w:t>
      </w:r>
      <w:r>
        <w:rPr>
          <w:rFonts w:ascii="Times New Roman" w:hAnsi="Times New Roman"/>
          <w:sz w:val="20"/>
          <w:u w:val="single"/>
        </w:rPr>
        <w:t>Amendment</w:t>
      </w:r>
      <w:r>
        <w:rPr>
          <w:rFonts w:ascii="Times New Roman" w:hAnsi="Times New Roman"/>
          <w:sz w:val="20"/>
        </w:rPr>
        <w:t xml:space="preserve">. This Agreement may only be amended by a written instrument executed by each of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9.4 </w:t>
      </w:r>
      <w:r>
        <w:rPr>
          <w:rFonts w:ascii="Times New Roman" w:hAnsi="Times New Roman"/>
          <w:sz w:val="20"/>
          <w:u w:val="single"/>
        </w:rPr>
        <w:t>Entire Agreement</w:t>
      </w:r>
      <w:r>
        <w:rPr>
          <w:rFonts w:ascii="Times New Roman" w:hAnsi="Times New Roman"/>
          <w:sz w:val="20"/>
        </w:rPr>
        <w:t xml:space="preserve">. This Agreement (together with the other agreements and documents being delivered pursuant to or in connection with this Agreement) constitutes the entire agreement of the parties hereto with respect to the subject matter hereof and thereof, and supersedes all prior agreements and understandings of the parties, oral and written, with respect to the subject matter hereof. Notwithstanding anything to the contrary set forth herein, it is understood and agreed by the parties hereto that all other terms and conditions of that certain engagement letter between the Company and the Representative, shall remain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9.5 </w:t>
      </w:r>
      <w:r>
        <w:rPr>
          <w:rFonts w:ascii="Times New Roman" w:hAnsi="Times New Roman"/>
          <w:sz w:val="20"/>
          <w:u w:val="single"/>
        </w:rPr>
        <w:t>Binding Effect</w:t>
      </w:r>
      <w:r>
        <w:rPr>
          <w:rFonts w:ascii="Times New Roman" w:hAnsi="Times New Roman"/>
          <w:sz w:val="20"/>
        </w:rPr>
        <w:t>. This Agreement shall inure solely to the benefit of and shall be binding upon the Representative, the Underwriters, the Company and the controlling persons, directors and officers referred to in Section 5 hereof, and their respective successors, legal representatives, heirs and assigns, and no other person shall have or be construed to have any legal or equitable right, remedy or claim under or in respect of or by virtue of this Agreement or any provisions herein contained. The term “</w:t>
      </w:r>
      <w:r>
        <w:rPr>
          <w:rFonts w:ascii="Times New Roman" w:hAnsi="Times New Roman"/>
          <w:b/>
          <w:sz w:val="20"/>
        </w:rPr>
        <w:t>successors and assigns</w:t>
      </w:r>
      <w:r>
        <w:rPr>
          <w:rFonts w:ascii="Times New Roman" w:hAnsi="Times New Roman"/>
          <w:sz w:val="20"/>
        </w:rPr>
        <w:t xml:space="preserve">” shall not include a purchaser, in its capacity as such, of securities from any of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9.6 </w:t>
      </w:r>
      <w:r>
        <w:rPr>
          <w:rFonts w:ascii="Times New Roman" w:hAnsi="Times New Roman"/>
          <w:sz w:val="20"/>
          <w:u w:val="single"/>
        </w:rPr>
        <w:t>Governing Law; Consent to Jurisdiction; Trial by Jury</w:t>
      </w:r>
      <w:r>
        <w:rPr>
          <w:rFonts w:ascii="Times New Roman" w:hAnsi="Times New Roman"/>
          <w:sz w:val="20"/>
        </w:rPr>
        <w:t xml:space="preserve">. This Agreement shall be governed by and construed and enforced in accordance with the laws of the State of New York, without giving effect to conflict of laws principles thereof. The Company hereby agrees that any action, proceeding or claim against it arising out of, or relating in any way to this Agreement shall be brought and enforced in the New York Supreme Court, County of New York, or in the United States District Court for the Southern District of New York, and irrevocably submits to such jurisdiction, which jurisdiction shall be exclusive. The Company hereby waives any objection to such exclusive jurisdiction and that such courts represent an inconvenient forum. Any such process or summons to be served upon the Company may be served by transmitting a copy thereof by registered or certified mail, return receipt requested, postage prepaid, addressed to it at the address set forth in Section 9.1 hereof. Such mailing shall be deemed personal service and shall be legal and binding upon the Company in any action, proceeding or claim. The Company agrees that the prevailing party(ies) in any such action shall be entitled to recover from the other party(ies) all of its reasonable attorneys’ fees and expenses relating to such action or proceeding and/or incurred in connection with the preparation therefor. The Company (on its behalf and, to the extent permitted by applicable law, on behalf of its stockholders and affiliates) and each of the Underwriters hereby irrevocably waives, to the fullest extent permitted by applicable law, any and all right to trial by jury in any legal proceeding arising out of or relating to this Agreement 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9.7 </w:t>
      </w:r>
      <w:r>
        <w:rPr>
          <w:rFonts w:ascii="Times New Roman" w:hAnsi="Times New Roman"/>
          <w:sz w:val="20"/>
          <w:u w:val="single"/>
        </w:rPr>
        <w:t>Execution in Counterparts</w:t>
      </w:r>
      <w:r>
        <w:rPr>
          <w:rFonts w:ascii="Times New Roman" w:hAnsi="Times New Roman"/>
          <w:sz w:val="20"/>
        </w:rPr>
        <w:t xml:space="preserve">. This Agreement may be executed in one or more counterparts, and by the different parties hereto in separate counterparts, each of which shall be deemed to be an original, but all of which taken together shall constitute one and the same agreement, and shall become effective when one or more counterparts has been signed by each of the parties hereto and delivered to each of the other parties hereto. Delivery of a signed counterpart of this Agreement by facsimile or email/pdf transmission shall constitute valid and sufficient delivery thereof. </w:t>
      </w:r>
    </w:p>
    <w:p>
      <w:pPr>
        <w:pStyle w:val="TextBody"/>
        <w:bidi w:val="0"/>
        <w:spacing w:before="240" w:after="0"/>
        <w:jc w:val="left"/>
        <w:rPr>
          <w:rFonts w:ascii="Times New Roman" w:hAnsi="Times New Roman"/>
          <w:sz w:val="20"/>
        </w:rPr>
      </w:pPr>
      <w:r>
        <w:rPr>
          <w:rFonts w:ascii="Times New Roman" w:hAnsi="Times New Roman"/>
          <w:sz w:val="20"/>
        </w:rPr>
        <w:t xml:space="preserve">9.8 </w:t>
      </w:r>
      <w:r>
        <w:rPr>
          <w:rFonts w:ascii="Times New Roman" w:hAnsi="Times New Roman"/>
          <w:sz w:val="20"/>
          <w:u w:val="single"/>
        </w:rPr>
        <w:t>Waiver, etc</w:t>
      </w:r>
      <w:r>
        <w:rPr>
          <w:rFonts w:ascii="Times New Roman" w:hAnsi="Times New Roman"/>
          <w:sz w:val="20"/>
        </w:rPr>
        <w:t xml:space="preserve">. The failure of any of the parties hereto to at any time enforce any of the provisions of this Agreement shall not be deemed or construed to be a waiver of any such provision, nor to in any way effect the validity of this Agreement or any provision hereof or the right of any of the parties hereto to thereafter enforce each and every provision of this Agreement. No waiver of any breach, non-compliance or non-fulfillment of any of the provisions of this Agreement shall be effective unless set forth in a written instrument executed by the party or parties against whom or which enforcement of such waiver is sought; and no waiver of any such breach, non-compliance or non-fulfillment shall be construed or deemed to be a waiver of any other or subsequent breach, non-compliance or non-fulfillment.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foregoing correctly sets forth the understanding between the Underwriters and the Company, please so indicate in the space provided below for that purpose, whereupon this letter shall constitute a binding agreement between us.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87"/>
        <w:gridCol w:w="61"/>
        <w:gridCol w:w="3334"/>
      </w:tblGrid>
      <w:tr>
        <w:trPr/>
        <w:tc>
          <w:tcPr>
            <w:tcW w:w="687"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3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REIN THERAPEUTICS, INC.</w:t>
            </w:r>
          </w:p>
        </w:tc>
      </w:tr>
      <w:tr>
        <w:trPr>
          <w:trHeight w:val="240" w:hRule="atLeast"/>
        </w:trPr>
        <w:tc>
          <w:tcPr>
            <w:tcW w:w="687" w:type="dxa"/>
            <w:tcBorders/>
            <w:vAlign w:val="center"/>
          </w:tcPr>
          <w:p>
            <w:pPr>
              <w:pStyle w:val="TableContents"/>
              <w:bidi w:val="0"/>
              <w:spacing w:before="0" w:after="283"/>
              <w:jc w:val="left"/>
              <w:rPr>
                <w:sz w:val="4"/>
                <w:szCs w:val="4"/>
              </w:rPr>
            </w:pPr>
            <w:r>
              <w:rPr>
                <w:sz w:val="4"/>
                <w:szCs w:val="4"/>
              </w:rPr>
            </w:r>
          </w:p>
        </w:tc>
        <w:tc>
          <w:tcPr>
            <w:tcW w:w="3395" w:type="dxa"/>
            <w:gridSpan w:val="2"/>
            <w:tcBorders/>
            <w:vAlign w:val="center"/>
          </w:tcPr>
          <w:p>
            <w:pPr>
              <w:pStyle w:val="TableContents"/>
              <w:bidi w:val="0"/>
              <w:spacing w:before="0" w:after="283"/>
              <w:jc w:val="left"/>
              <w:rPr>
                <w:sz w:val="4"/>
                <w:szCs w:val="4"/>
              </w:rPr>
            </w:pPr>
            <w:r>
              <w:rPr>
                <w:sz w:val="4"/>
                <w:szCs w:val="4"/>
              </w:rPr>
            </w:r>
          </w:p>
        </w:tc>
      </w:tr>
      <w:tr>
        <w:trPr/>
        <w:tc>
          <w:tcPr>
            <w:tcW w:w="687"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34"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Brian Windsor</w:t>
            </w:r>
          </w:p>
        </w:tc>
      </w:tr>
      <w:tr>
        <w:trPr/>
        <w:tc>
          <w:tcPr>
            <w:tcW w:w="6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1" w:type="dxa"/>
            <w:tcBorders/>
            <w:vAlign w:val="bottom"/>
          </w:tcPr>
          <w:p>
            <w:pPr>
              <w:pStyle w:val="TableContents"/>
              <w:bidi w:val="0"/>
              <w:spacing w:before="0" w:after="283"/>
              <w:jc w:val="left"/>
              <w:rPr/>
            </w:pPr>
            <w:r>
              <w:rPr/>
              <w:t> </w:t>
            </w:r>
          </w:p>
        </w:tc>
        <w:tc>
          <w:tcPr>
            <w:tcW w:w="333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Brian Windsor, Ph.D.,</w:t>
            </w:r>
          </w:p>
        </w:tc>
      </w:tr>
      <w:tr>
        <w:trPr/>
        <w:tc>
          <w:tcPr>
            <w:tcW w:w="6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1" w:type="dxa"/>
            <w:tcBorders/>
            <w:vAlign w:val="bottom"/>
          </w:tcPr>
          <w:p>
            <w:pPr>
              <w:pStyle w:val="TableContents"/>
              <w:bidi w:val="0"/>
              <w:spacing w:before="0" w:after="283"/>
              <w:jc w:val="left"/>
              <w:rPr/>
            </w:pPr>
            <w:r>
              <w:rPr/>
              <w:t> </w:t>
            </w:r>
          </w:p>
        </w:tc>
        <w:tc>
          <w:tcPr>
            <w:tcW w:w="333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President and 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Confirmed as of the date first written above mentioned, on behalf of itself and as Representative of the several Underwriters named on </w:t>
      </w:r>
      <w:r>
        <w:rPr>
          <w:rFonts w:ascii="Times New Roman" w:hAnsi="Times New Roman"/>
          <w:sz w:val="20"/>
          <w:u w:val="single"/>
        </w:rPr>
        <w:t>Schedule 1</w:t>
      </w:r>
      <w:r>
        <w:rPr>
          <w:rFonts w:ascii="Times New Roman" w:hAnsi="Times New Roman"/>
          <w:sz w:val="20"/>
        </w:rPr>
        <w:t xml:space="preserve"> hereto: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57"/>
        <w:gridCol w:w="60"/>
        <w:gridCol w:w="3365"/>
      </w:tblGrid>
      <w:tr>
        <w:trPr/>
        <w:tc>
          <w:tcPr>
            <w:tcW w:w="65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KONIK CAPITAL PARTNERS,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 Division of T.R Winston and Company</w:t>
            </w:r>
          </w:p>
        </w:tc>
      </w:tr>
      <w:tr>
        <w:trPr>
          <w:trHeight w:val="240" w:hRule="atLeast"/>
        </w:trPr>
        <w:tc>
          <w:tcPr>
            <w:tcW w:w="657" w:type="dxa"/>
            <w:tcBorders/>
            <w:vAlign w:val="center"/>
          </w:tcPr>
          <w:p>
            <w:pPr>
              <w:pStyle w:val="TableContents"/>
              <w:bidi w:val="0"/>
              <w:spacing w:before="0" w:after="283"/>
              <w:jc w:val="left"/>
              <w:rPr>
                <w:sz w:val="4"/>
                <w:szCs w:val="4"/>
              </w:rPr>
            </w:pPr>
            <w:r>
              <w:rPr>
                <w:sz w:val="4"/>
                <w:szCs w:val="4"/>
              </w:rPr>
            </w:r>
          </w:p>
        </w:tc>
        <w:tc>
          <w:tcPr>
            <w:tcW w:w="3425" w:type="dxa"/>
            <w:gridSpan w:val="2"/>
            <w:tcBorders/>
            <w:vAlign w:val="center"/>
          </w:tcPr>
          <w:p>
            <w:pPr>
              <w:pStyle w:val="TableContents"/>
              <w:bidi w:val="0"/>
              <w:spacing w:before="0" w:after="283"/>
              <w:jc w:val="left"/>
              <w:rPr>
                <w:sz w:val="4"/>
                <w:szCs w:val="4"/>
              </w:rPr>
            </w:pPr>
            <w:r>
              <w:rPr>
                <w:sz w:val="4"/>
                <w:szCs w:val="4"/>
              </w:rPr>
            </w:r>
          </w:p>
        </w:tc>
      </w:tr>
      <w:tr>
        <w:trPr/>
        <w:tc>
          <w:tcPr>
            <w:tcW w:w="657"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65" w:type="dxa"/>
            <w:tcBorders>
              <w:bottom w:val="single" w:sz="2" w:space="0" w:color="000000"/>
            </w:tcBorders>
            <w:tcMar>
              <w:bottom w:w="28" w:type="dxa"/>
            </w:tcMar>
          </w:tcPr>
          <w:p>
            <w:pPr>
              <w:pStyle w:val="TableContents"/>
              <w:bidi w:val="0"/>
              <w:spacing w:before="0" w:after="0"/>
              <w:jc w:val="left"/>
              <w:rPr>
                <w:rFonts w:ascii="Times New Roman" w:hAnsi="Times New Roman"/>
                <w:sz w:val="20"/>
              </w:rPr>
            </w:pPr>
            <w:r>
              <w:rPr>
                <w:rFonts w:ascii="Times New Roman" w:hAnsi="Times New Roman"/>
                <w:sz w:val="20"/>
              </w:rPr>
              <w:t>/s/ Alden Carrere</w:t>
            </w:r>
          </w:p>
        </w:tc>
      </w:tr>
      <w:tr>
        <w:trPr/>
        <w:tc>
          <w:tcPr>
            <w:tcW w:w="657"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365" w:type="dxa"/>
            <w:tcBorders/>
          </w:tcPr>
          <w:p>
            <w:pPr>
              <w:pStyle w:val="TableContents"/>
              <w:bidi w:val="0"/>
              <w:spacing w:before="0" w:after="0"/>
              <w:jc w:val="left"/>
              <w:rPr>
                <w:rFonts w:ascii="Times New Roman" w:hAnsi="Times New Roman"/>
                <w:sz w:val="20"/>
              </w:rPr>
            </w:pPr>
            <w:r>
              <w:rPr>
                <w:rFonts w:ascii="Times New Roman" w:hAnsi="Times New Roman"/>
                <w:sz w:val="20"/>
              </w:rPr>
              <w:t>Alden Carrere</w:t>
            </w:r>
          </w:p>
        </w:tc>
      </w:tr>
      <w:tr>
        <w:trPr/>
        <w:tc>
          <w:tcPr>
            <w:tcW w:w="657"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365" w:type="dxa"/>
            <w:tcBorders/>
          </w:tcPr>
          <w:p>
            <w:pPr>
              <w:pStyle w:val="TableContents"/>
              <w:bidi w:val="0"/>
              <w:spacing w:before="0" w:after="0"/>
              <w:jc w:val="left"/>
              <w:rPr>
                <w:rFonts w:ascii="Times New Roman" w:hAnsi="Times New Roman"/>
                <w:sz w:val="20"/>
              </w:rPr>
            </w:pPr>
            <w:r>
              <w:rPr>
                <w:rFonts w:ascii="Times New Roman" w:hAnsi="Times New Roman"/>
                <w:sz w:val="20"/>
              </w:rPr>
              <w:t>Co-Founder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w:t>
      </w:r>
    </w:p>
    <w:p>
      <w:pPr>
        <w:pStyle w:val="TextBody"/>
        <w:bidi w:val="0"/>
        <w:spacing w:before="0" w:after="0"/>
        <w:jc w:val="center"/>
        <w:rPr>
          <w:rFonts w:ascii="Times New Roman" w:hAnsi="Times New Roman"/>
          <w:sz w:val="20"/>
        </w:rPr>
      </w:pPr>
      <w:r>
        <w:rPr>
          <w:rFonts w:ascii="Times New Roman" w:hAnsi="Times New Roman"/>
          <w:sz w:val="20"/>
        </w:rPr>
        <w:t xml:space="preserve">REIN THERAPEUTICS – UNDERWRITING AGREEMENT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80"/>
        <w:gridCol w:w="121"/>
        <w:gridCol w:w="3226"/>
        <w:gridCol w:w="121"/>
        <w:gridCol w:w="3157"/>
      </w:tblGrid>
      <w:tr>
        <w:trPr/>
        <w:tc>
          <w:tcPr>
            <w:tcW w:w="358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57" w:type="dxa"/>
            <w:tcBorders/>
            <w:vAlign w:val="center"/>
          </w:tcPr>
          <w:p>
            <w:pPr>
              <w:pStyle w:val="TableContents"/>
              <w:bidi w:val="0"/>
              <w:spacing w:before="0" w:after="283"/>
              <w:jc w:val="left"/>
              <w:rPr>
                <w:sz w:val="4"/>
                <w:szCs w:val="4"/>
              </w:rPr>
            </w:pPr>
            <w:r>
              <w:rPr>
                <w:sz w:val="4"/>
                <w:szCs w:val="4"/>
              </w:rPr>
            </w:r>
          </w:p>
        </w:tc>
      </w:tr>
      <w:tr>
        <w:trPr/>
        <w:tc>
          <w:tcPr>
            <w:tcW w:w="358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Underwriter</w:t>
            </w:r>
          </w:p>
        </w:tc>
        <w:tc>
          <w:tcPr>
            <w:tcW w:w="121" w:type="dxa"/>
            <w:tcBorders/>
            <w:vAlign w:val="bottom"/>
          </w:tcPr>
          <w:p>
            <w:pPr>
              <w:pStyle w:val="TableContents"/>
              <w:bidi w:val="0"/>
              <w:spacing w:before="0" w:after="283"/>
              <w:jc w:val="left"/>
              <w:rPr/>
            </w:pPr>
            <w:r>
              <w:rPr/>
              <w:t>  </w:t>
            </w:r>
          </w:p>
        </w:tc>
        <w:tc>
          <w:tcPr>
            <w:tcW w:w="322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Total Number of</w:t>
              <w:br/>
              <w:t>Firm Shares to be</w:t>
              <w:br/>
              <w:t>Purchased</w:t>
            </w:r>
          </w:p>
        </w:tc>
        <w:tc>
          <w:tcPr>
            <w:tcW w:w="121" w:type="dxa"/>
            <w:tcBorders/>
            <w:vAlign w:val="bottom"/>
          </w:tcPr>
          <w:p>
            <w:pPr>
              <w:pStyle w:val="TableContents"/>
              <w:bidi w:val="0"/>
              <w:spacing w:before="0" w:after="283"/>
              <w:jc w:val="left"/>
              <w:rPr/>
            </w:pPr>
            <w:r>
              <w:rPr/>
              <w:t>  </w:t>
            </w:r>
          </w:p>
        </w:tc>
        <w:tc>
          <w:tcPr>
            <w:tcW w:w="3157"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Number of Option Shares</w:t>
            </w:r>
          </w:p>
          <w:p>
            <w:pPr>
              <w:pStyle w:val="TableContents"/>
              <w:bidi w:val="0"/>
              <w:spacing w:before="0" w:after="0"/>
              <w:jc w:val="center"/>
              <w:rPr>
                <w:rFonts w:ascii="Times New Roman" w:hAnsi="Times New Roman"/>
                <w:b/>
                <w:sz w:val="16"/>
              </w:rPr>
            </w:pPr>
            <w:r>
              <w:rPr>
                <w:rFonts w:ascii="Times New Roman" w:hAnsi="Times New Roman"/>
                <w:b/>
                <w:sz w:val="16"/>
              </w:rPr>
              <w:t>to be Purchased if the</w:t>
            </w:r>
          </w:p>
          <w:p>
            <w:pPr>
              <w:pStyle w:val="TableContents"/>
              <w:bidi w:val="0"/>
              <w:spacing w:before="0" w:after="0"/>
              <w:jc w:val="center"/>
              <w:rPr>
                <w:rFonts w:ascii="Times New Roman" w:hAnsi="Times New Roman"/>
                <w:b/>
                <w:sz w:val="16"/>
              </w:rPr>
            </w:pPr>
            <w:r>
              <w:rPr>
                <w:rFonts w:ascii="Times New Roman" w:hAnsi="Times New Roman"/>
                <w:b/>
                <w:sz w:val="16"/>
              </w:rPr>
              <w:t>Over-Allotment Option</w:t>
            </w:r>
          </w:p>
          <w:p>
            <w:pPr>
              <w:pStyle w:val="TableContents"/>
              <w:bidi w:val="0"/>
              <w:spacing w:before="0" w:after="20"/>
              <w:jc w:val="center"/>
              <w:rPr>
                <w:rFonts w:ascii="Times New Roman" w:hAnsi="Times New Roman"/>
                <w:b/>
                <w:sz w:val="16"/>
              </w:rPr>
            </w:pPr>
            <w:r>
              <w:rPr>
                <w:rFonts w:ascii="Times New Roman" w:hAnsi="Times New Roman"/>
                <w:b/>
                <w:sz w:val="16"/>
              </w:rPr>
              <w:t>is Fully Exercised</w:t>
            </w:r>
          </w:p>
        </w:tc>
      </w:tr>
      <w:tr>
        <w:trPr/>
        <w:tc>
          <w:tcPr>
            <w:tcW w:w="3580" w:type="dxa"/>
            <w:tcBorders/>
          </w:tcPr>
          <w:p>
            <w:pPr>
              <w:pStyle w:val="TableContents"/>
              <w:bidi w:val="0"/>
              <w:spacing w:before="0" w:after="283"/>
              <w:jc w:val="left"/>
              <w:rPr>
                <w:b/>
              </w:rPr>
            </w:pPr>
            <w:r>
              <w:rPr>
                <w:b/>
              </w:rPr>
              <w:t>KONIK CAPITAL PARNTERS, LLC</w:t>
            </w:r>
          </w:p>
        </w:tc>
        <w:tc>
          <w:tcPr>
            <w:tcW w:w="121" w:type="dxa"/>
            <w:tcBorders/>
            <w:vAlign w:val="bottom"/>
          </w:tcPr>
          <w:p>
            <w:pPr>
              <w:pStyle w:val="TableContents"/>
              <w:bidi w:val="0"/>
              <w:spacing w:before="0" w:after="283"/>
              <w:jc w:val="left"/>
              <w:rPr/>
            </w:pPr>
            <w:r>
              <w:rPr/>
              <w:t>  </w:t>
            </w:r>
          </w:p>
        </w:tc>
        <w:tc>
          <w:tcPr>
            <w:tcW w:w="3226" w:type="dxa"/>
            <w:tcBorders/>
          </w:tcPr>
          <w:p>
            <w:pPr>
              <w:pStyle w:val="TableContents"/>
              <w:bidi w:val="0"/>
              <w:spacing w:before="0" w:after="283"/>
              <w:jc w:val="center"/>
              <w:rPr/>
            </w:pPr>
            <w:r>
              <w:rPr/>
              <w:t>50,000,000</w:t>
            </w:r>
          </w:p>
        </w:tc>
        <w:tc>
          <w:tcPr>
            <w:tcW w:w="121" w:type="dxa"/>
            <w:tcBorders/>
            <w:vAlign w:val="bottom"/>
          </w:tcPr>
          <w:p>
            <w:pPr>
              <w:pStyle w:val="TableContents"/>
              <w:bidi w:val="0"/>
              <w:spacing w:before="0" w:after="283"/>
              <w:jc w:val="left"/>
              <w:rPr/>
            </w:pPr>
            <w:r>
              <w:rPr/>
              <w:t>  </w:t>
            </w:r>
          </w:p>
        </w:tc>
        <w:tc>
          <w:tcPr>
            <w:tcW w:w="3157" w:type="dxa"/>
            <w:tcBorders/>
          </w:tcPr>
          <w:p>
            <w:pPr>
              <w:pStyle w:val="TableContents"/>
              <w:bidi w:val="0"/>
              <w:spacing w:before="0" w:after="283"/>
              <w:jc w:val="center"/>
              <w:rPr/>
            </w:pPr>
            <w:r>
              <w:rPr/>
              <w:t>57,500,000</w:t>
            </w:r>
          </w:p>
        </w:tc>
      </w:tr>
      <w:tr>
        <w:trPr/>
        <w:tc>
          <w:tcPr>
            <w:tcW w:w="358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26" w:type="dxa"/>
            <w:tcBorders/>
            <w:vAlign w:val="bottom"/>
          </w:tcPr>
          <w:p>
            <w:pPr>
              <w:pStyle w:val="TableContents"/>
              <w:pBdr>
                <w:top w:val="single" w:sz="2"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3157" w:type="dxa"/>
            <w:tcBorders/>
            <w:vAlign w:val="bottom"/>
          </w:tcPr>
          <w:p>
            <w:pPr>
              <w:pStyle w:val="TableContents"/>
              <w:pBdr>
                <w:top w:val="single" w:sz="2" w:space="1" w:color="000000"/>
              </w:pBdr>
              <w:bidi w:val="0"/>
              <w:spacing w:before="0" w:after="0"/>
              <w:jc w:val="left"/>
              <w:rPr/>
            </w:pPr>
            <w:r>
              <w:rPr/>
              <w:t> </w:t>
            </w:r>
          </w:p>
        </w:tc>
      </w:tr>
      <w:tr>
        <w:trPr/>
        <w:tc>
          <w:tcPr>
            <w:tcW w:w="3580" w:type="dxa"/>
            <w:tcBorders/>
          </w:tcPr>
          <w:p>
            <w:pPr>
              <w:pStyle w:val="TableContents"/>
              <w:bidi w:val="0"/>
              <w:spacing w:before="0" w:after="283"/>
              <w:jc w:val="left"/>
              <w:rPr>
                <w:b/>
              </w:rPr>
            </w:pPr>
            <w:r>
              <w:rPr>
                <w:b/>
              </w:rPr>
              <w:t>TOTAL</w:t>
            </w:r>
          </w:p>
        </w:tc>
        <w:tc>
          <w:tcPr>
            <w:tcW w:w="121" w:type="dxa"/>
            <w:tcBorders/>
            <w:vAlign w:val="bottom"/>
          </w:tcPr>
          <w:p>
            <w:pPr>
              <w:pStyle w:val="TableContents"/>
              <w:bidi w:val="0"/>
              <w:spacing w:before="0" w:after="283"/>
              <w:jc w:val="left"/>
              <w:rPr/>
            </w:pPr>
            <w:r>
              <w:rPr/>
              <w:t>  </w:t>
            </w:r>
          </w:p>
        </w:tc>
        <w:tc>
          <w:tcPr>
            <w:tcW w:w="3226" w:type="dxa"/>
            <w:tcBorders/>
          </w:tcPr>
          <w:p>
            <w:pPr>
              <w:pStyle w:val="TableContents"/>
              <w:bidi w:val="0"/>
              <w:spacing w:before="0" w:after="283"/>
              <w:jc w:val="center"/>
              <w:rPr/>
            </w:pPr>
            <w:r>
              <w:rPr/>
              <w:t>50,000,000</w:t>
            </w:r>
          </w:p>
        </w:tc>
        <w:tc>
          <w:tcPr>
            <w:tcW w:w="121" w:type="dxa"/>
            <w:tcBorders/>
            <w:vAlign w:val="bottom"/>
          </w:tcPr>
          <w:p>
            <w:pPr>
              <w:pStyle w:val="TableContents"/>
              <w:bidi w:val="0"/>
              <w:spacing w:before="0" w:after="283"/>
              <w:jc w:val="left"/>
              <w:rPr/>
            </w:pPr>
            <w:r>
              <w:rPr/>
              <w:t>  </w:t>
            </w:r>
          </w:p>
        </w:tc>
        <w:tc>
          <w:tcPr>
            <w:tcW w:w="3157" w:type="dxa"/>
            <w:tcBorders/>
          </w:tcPr>
          <w:p>
            <w:pPr>
              <w:pStyle w:val="TableContents"/>
              <w:bidi w:val="0"/>
              <w:spacing w:before="0" w:after="283"/>
              <w:jc w:val="center"/>
              <w:rPr/>
            </w:pPr>
            <w:r>
              <w:rPr/>
              <w:t>57,500,000</w:t>
            </w:r>
          </w:p>
        </w:tc>
      </w:tr>
      <w:tr>
        <w:trPr/>
        <w:tc>
          <w:tcPr>
            <w:tcW w:w="358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226" w:type="dxa"/>
            <w:tcBorders/>
            <w:vAlign w:val="bottom"/>
          </w:tcPr>
          <w:p>
            <w:pPr>
              <w:pStyle w:val="TableContents"/>
              <w:pBdr>
                <w:top w:val="double" w:sz="6" w:space="1" w:color="000000"/>
              </w:pBdr>
              <w:bidi w:val="0"/>
              <w:spacing w:before="0" w:after="0"/>
              <w:jc w:val="left"/>
              <w:rPr/>
            </w:pPr>
            <w:r>
              <w:rPr/>
              <w:t> </w:t>
            </w:r>
          </w:p>
        </w:tc>
        <w:tc>
          <w:tcPr>
            <w:tcW w:w="121" w:type="dxa"/>
            <w:tcBorders/>
            <w:vAlign w:val="bottom"/>
          </w:tcPr>
          <w:p>
            <w:pPr>
              <w:pStyle w:val="TableContents"/>
              <w:bidi w:val="0"/>
              <w:spacing w:before="0" w:after="283"/>
              <w:jc w:val="left"/>
              <w:rPr/>
            </w:pPr>
            <w:r>
              <w:rPr/>
              <w:t>  </w:t>
            </w:r>
          </w:p>
        </w:tc>
        <w:tc>
          <w:tcPr>
            <w:tcW w:w="3157" w:type="dxa"/>
            <w:tcBorders/>
            <w:vAlign w:val="bottom"/>
          </w:tcPr>
          <w:p>
            <w:pPr>
              <w:pStyle w:val="TableContents"/>
              <w:pBdr>
                <w:top w:val="double" w:sz="6" w:space="1" w:color="000000"/>
              </w:pBdr>
              <w:bidi w:val="0"/>
              <w:spacing w:before="0" w:after="0"/>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2-A </w:t>
      </w:r>
    </w:p>
    <w:p>
      <w:pPr>
        <w:pStyle w:val="TextBody"/>
        <w:bidi w:val="0"/>
        <w:spacing w:before="120" w:after="0"/>
        <w:jc w:val="center"/>
        <w:rPr>
          <w:rFonts w:ascii="Times New Roman" w:hAnsi="Times New Roman"/>
          <w:b/>
          <w:sz w:val="20"/>
        </w:rPr>
      </w:pPr>
      <w:r>
        <w:rPr>
          <w:rFonts w:ascii="Times New Roman" w:hAnsi="Times New Roman"/>
          <w:b/>
          <w:sz w:val="20"/>
        </w:rPr>
        <w:t xml:space="preserve">Pricing Information </w:t>
      </w:r>
    </w:p>
    <w:p>
      <w:pPr>
        <w:pStyle w:val="TextBody"/>
        <w:bidi w:val="0"/>
        <w:spacing w:before="240" w:after="0"/>
        <w:jc w:val="left"/>
        <w:rPr>
          <w:rFonts w:ascii="Times New Roman" w:hAnsi="Times New Roman"/>
          <w:sz w:val="20"/>
        </w:rPr>
      </w:pPr>
      <w:r>
        <w:rPr>
          <w:rFonts w:ascii="Times New Roman" w:hAnsi="Times New Roman"/>
          <w:sz w:val="20"/>
        </w:rPr>
        <w:t xml:space="preserve">Number of Firm Shares: 50,000,000 </w:t>
      </w:r>
    </w:p>
    <w:p>
      <w:pPr>
        <w:pStyle w:val="TextBody"/>
        <w:bidi w:val="0"/>
        <w:spacing w:before="240" w:after="0"/>
        <w:jc w:val="left"/>
        <w:rPr>
          <w:rFonts w:ascii="Times New Roman" w:hAnsi="Times New Roman"/>
          <w:sz w:val="20"/>
        </w:rPr>
      </w:pPr>
      <w:r>
        <w:rPr>
          <w:rFonts w:ascii="Times New Roman" w:hAnsi="Times New Roman"/>
          <w:sz w:val="20"/>
        </w:rPr>
        <w:t xml:space="preserve">Number of Option Shares: 7,500,000 </w:t>
      </w:r>
    </w:p>
    <w:p>
      <w:pPr>
        <w:pStyle w:val="TextBody"/>
        <w:bidi w:val="0"/>
        <w:spacing w:before="240" w:after="0"/>
        <w:jc w:val="left"/>
        <w:rPr>
          <w:rFonts w:ascii="Times New Roman" w:hAnsi="Times New Roman"/>
          <w:sz w:val="20"/>
        </w:rPr>
      </w:pPr>
      <w:r>
        <w:rPr>
          <w:rFonts w:ascii="Times New Roman" w:hAnsi="Times New Roman"/>
          <w:sz w:val="20"/>
        </w:rPr>
        <w:t xml:space="preserve">Public Offering Price per Share: $1.00 </w:t>
      </w:r>
    </w:p>
    <w:p>
      <w:pPr>
        <w:pStyle w:val="TextBody"/>
        <w:bidi w:val="0"/>
        <w:spacing w:before="240" w:after="0"/>
        <w:jc w:val="left"/>
        <w:rPr>
          <w:rFonts w:ascii="Times New Roman" w:hAnsi="Times New Roman"/>
          <w:sz w:val="20"/>
        </w:rPr>
      </w:pPr>
      <w:r>
        <w:rPr>
          <w:rFonts w:ascii="Times New Roman" w:hAnsi="Times New Roman"/>
          <w:sz w:val="20"/>
        </w:rPr>
        <w:t xml:space="preserve">Underwriting Discount per Share: $0.07 </w:t>
      </w:r>
    </w:p>
    <w:p>
      <w:pPr>
        <w:pStyle w:val="TextBody"/>
        <w:bidi w:val="0"/>
        <w:spacing w:before="240" w:after="0"/>
        <w:jc w:val="left"/>
        <w:rPr>
          <w:rFonts w:ascii="Times New Roman" w:hAnsi="Times New Roman"/>
          <w:sz w:val="20"/>
        </w:rPr>
      </w:pPr>
      <w:r>
        <w:rPr>
          <w:rFonts w:ascii="Times New Roman" w:hAnsi="Times New Roman"/>
          <w:sz w:val="20"/>
        </w:rPr>
        <w:t xml:space="preserve">Proceeds to Company per Share (before expenses): $0.93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2-B </w:t>
      </w:r>
    </w:p>
    <w:p>
      <w:pPr>
        <w:pStyle w:val="TextBody"/>
        <w:bidi w:val="0"/>
        <w:spacing w:before="120" w:after="0"/>
        <w:jc w:val="center"/>
        <w:rPr>
          <w:rFonts w:ascii="Times New Roman" w:hAnsi="Times New Roman"/>
          <w:b/>
          <w:sz w:val="20"/>
        </w:rPr>
      </w:pPr>
      <w:r>
        <w:rPr>
          <w:rFonts w:ascii="Times New Roman" w:hAnsi="Times New Roman"/>
          <w:b/>
          <w:sz w:val="20"/>
        </w:rPr>
        <w:t xml:space="preserve">Issuer General Use Free Writing Prospectuses </w:t>
      </w:r>
    </w:p>
    <w:p>
      <w:pPr>
        <w:pStyle w:val="TextBody"/>
        <w:bidi w:val="0"/>
        <w:spacing w:before="120" w:after="0"/>
        <w:jc w:val="center"/>
        <w:rPr>
          <w:rFonts w:ascii="Times New Roman" w:hAnsi="Times New Roman"/>
          <w:b/>
          <w:sz w:val="20"/>
        </w:rPr>
      </w:pPr>
      <w:r>
        <w:rPr>
          <w:rFonts w:ascii="Times New Roman" w:hAnsi="Times New Roman"/>
          <w:b/>
          <w:sz w:val="20"/>
        </w:rPr>
        <w:t xml:space="preserve">None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3 </w:t>
      </w:r>
    </w:p>
    <w:p>
      <w:pPr>
        <w:pStyle w:val="TextBody"/>
        <w:bidi w:val="0"/>
        <w:spacing w:before="120" w:after="0"/>
        <w:jc w:val="center"/>
        <w:rPr>
          <w:rFonts w:ascii="Times New Roman" w:hAnsi="Times New Roman"/>
          <w:b/>
          <w:sz w:val="20"/>
        </w:rPr>
      </w:pPr>
      <w:r>
        <w:rPr>
          <w:rFonts w:ascii="Times New Roman" w:hAnsi="Times New Roman"/>
          <w:b/>
          <w:sz w:val="20"/>
        </w:rPr>
        <w:t xml:space="preserve">List of Lock-Up Parties </w:t>
      </w:r>
    </w:p>
    <w:p>
      <w:pPr>
        <w:pStyle w:val="TextBody"/>
        <w:bidi w:val="0"/>
        <w:spacing w:before="120" w:after="0"/>
        <w:jc w:val="center"/>
        <w:rPr>
          <w:rFonts w:ascii="Times New Roman" w:hAnsi="Times New Roman"/>
          <w:b/>
          <w:sz w:val="20"/>
        </w:rPr>
      </w:pPr>
      <w:r>
        <w:rPr>
          <w:rFonts w:ascii="Times New Roman" w:hAnsi="Times New Roman"/>
          <w:b/>
          <w:sz w:val="20"/>
        </w:rPr>
        <w:t xml:space="preserve">Brian Windsor, Ph.D. </w:t>
      </w:r>
    </w:p>
    <w:p>
      <w:pPr>
        <w:pStyle w:val="TextBody"/>
        <w:bidi w:val="0"/>
        <w:spacing w:before="0" w:after="0"/>
        <w:jc w:val="center"/>
        <w:rPr>
          <w:rFonts w:ascii="Times New Roman" w:hAnsi="Times New Roman"/>
          <w:b/>
          <w:sz w:val="20"/>
        </w:rPr>
      </w:pPr>
      <w:r>
        <w:rPr>
          <w:rFonts w:ascii="Times New Roman" w:hAnsi="Times New Roman"/>
          <w:b/>
          <w:sz w:val="20"/>
        </w:rPr>
        <w:t xml:space="preserve">Timothy M. Cunningham </w:t>
      </w:r>
    </w:p>
    <w:p>
      <w:pPr>
        <w:pStyle w:val="TextBody"/>
        <w:bidi w:val="0"/>
        <w:spacing w:before="0" w:after="0"/>
        <w:jc w:val="center"/>
        <w:rPr>
          <w:rFonts w:ascii="Times New Roman" w:hAnsi="Times New Roman"/>
          <w:b/>
          <w:sz w:val="20"/>
        </w:rPr>
      </w:pPr>
      <w:r>
        <w:rPr>
          <w:rFonts w:ascii="Times New Roman" w:hAnsi="Times New Roman"/>
          <w:b/>
          <w:sz w:val="20"/>
        </w:rPr>
        <w:t xml:space="preserve">Josef H. Von Rickenbach </w:t>
      </w:r>
    </w:p>
    <w:p>
      <w:pPr>
        <w:pStyle w:val="TextBody"/>
        <w:bidi w:val="0"/>
        <w:spacing w:before="0" w:after="0"/>
        <w:jc w:val="center"/>
        <w:rPr>
          <w:rFonts w:ascii="Times New Roman" w:hAnsi="Times New Roman"/>
          <w:b/>
          <w:sz w:val="20"/>
        </w:rPr>
      </w:pPr>
      <w:r>
        <w:rPr>
          <w:rFonts w:ascii="Times New Roman" w:hAnsi="Times New Roman"/>
          <w:b/>
          <w:sz w:val="20"/>
        </w:rPr>
        <w:t xml:space="preserve">Reinhard J. Ambros, Ph.D. </w:t>
      </w:r>
    </w:p>
    <w:p>
      <w:pPr>
        <w:pStyle w:val="TextBody"/>
        <w:bidi w:val="0"/>
        <w:spacing w:before="0" w:after="0"/>
        <w:jc w:val="center"/>
        <w:rPr>
          <w:rFonts w:ascii="Times New Roman" w:hAnsi="Times New Roman"/>
          <w:b/>
          <w:sz w:val="20"/>
        </w:rPr>
      </w:pPr>
      <w:r>
        <w:rPr>
          <w:rFonts w:ascii="Times New Roman" w:hAnsi="Times New Roman"/>
          <w:b/>
          <w:sz w:val="20"/>
        </w:rPr>
        <w:t xml:space="preserve">William C. Fairey </w:t>
      </w:r>
    </w:p>
    <w:p>
      <w:pPr>
        <w:pStyle w:val="TextBody"/>
        <w:bidi w:val="0"/>
        <w:spacing w:before="0" w:after="0"/>
        <w:jc w:val="center"/>
        <w:rPr>
          <w:rFonts w:ascii="Times New Roman" w:hAnsi="Times New Roman"/>
          <w:b/>
          <w:sz w:val="20"/>
        </w:rPr>
      </w:pPr>
      <w:r>
        <w:rPr>
          <w:rFonts w:ascii="Times New Roman" w:hAnsi="Times New Roman"/>
          <w:b/>
          <w:sz w:val="20"/>
        </w:rPr>
        <w:t xml:space="preserve">Alan Musso </w:t>
      </w:r>
    </w:p>
    <w:p>
      <w:pPr>
        <w:pStyle w:val="TextBody"/>
        <w:bidi w:val="0"/>
        <w:spacing w:before="0" w:after="0"/>
        <w:jc w:val="center"/>
        <w:rPr>
          <w:rFonts w:ascii="Times New Roman" w:hAnsi="Times New Roman"/>
          <w:b/>
          <w:sz w:val="20"/>
        </w:rPr>
      </w:pPr>
      <w:r>
        <w:rPr>
          <w:rFonts w:ascii="Times New Roman" w:hAnsi="Times New Roman"/>
          <w:b/>
          <w:sz w:val="20"/>
        </w:rPr>
        <w:t xml:space="preserve">Bios Entities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Representative’s Warrant Agreement </w:t>
      </w:r>
    </w:p>
    <w:p>
      <w:pPr>
        <w:pStyle w:val="TextBody"/>
        <w:bidi w:val="0"/>
        <w:spacing w:before="240" w:after="0"/>
        <w:jc w:val="left"/>
        <w:rPr>
          <w:rFonts w:ascii="Times New Roman" w:hAnsi="Times New Roman"/>
          <w:sz w:val="20"/>
        </w:rPr>
      </w:pPr>
      <w:r>
        <w:rPr>
          <w:rFonts w:ascii="Times New Roman" w:hAnsi="Times New Roman"/>
          <w:sz w:val="20"/>
        </w:rPr>
        <w:t xml:space="preserve">THE REGISTERED HOLDER OF THIS PURCHASE WARRANT BY ITS ACCEPTANCE HEREOF, AGREES THAT IT WILL NOT SELL, TRANSFER OR ASSIGN THIS PURCHASE WARRANT EXCEPT AS HEREIN PROVIDED AND THE REGISTERED HOLDER OF THIS PURCHASE WARRANT AGREES THAT IT WILL NOT SELL, TRANSFER, ASSIGN, PLEDGE OR HYPOTHECATE THIS PURCHASE WARRANT FOR A PERIOD OF ONE HUNDRED EIGHTY DAYS FOLLOWING THE EFFECTIVE DATE (DEFINED BELOW) TO ANYONE OTHER THAN (I) KONIK CAPITAL PARTNERS, LLC, OR AN UNDERWRITER OR A SELECTED DEALER IN CONNECTION WITH THE OFFERING, OR (II) A BONA FIDE OFFICER OR PARTNER OF KONIK CAPITAL PARTNERS, LLC OR OF ANY SUCH UNDERWRITER OR SELECTED DEALER. </w:t>
      </w:r>
    </w:p>
    <w:p>
      <w:pPr>
        <w:pStyle w:val="TextBody"/>
        <w:bidi w:val="0"/>
        <w:spacing w:before="240" w:after="0"/>
        <w:jc w:val="left"/>
        <w:rPr>
          <w:rFonts w:ascii="Times New Roman" w:hAnsi="Times New Roman"/>
          <w:sz w:val="20"/>
        </w:rPr>
      </w:pPr>
      <w:r>
        <w:rPr>
          <w:rFonts w:ascii="Times New Roman" w:hAnsi="Times New Roman"/>
          <w:sz w:val="20"/>
        </w:rPr>
        <w:t xml:space="preserve">THIS PURCHASE WARRANT IS NOT EXERCISABLE PRIOR TO [], 2026, VOID AFTER 5:00 P.M., EASTERN TIME, [], 2031. </w:t>
      </w:r>
    </w:p>
    <w:p>
      <w:pPr>
        <w:pStyle w:val="TextBody"/>
        <w:bidi w:val="0"/>
        <w:spacing w:before="480" w:after="0"/>
        <w:jc w:val="center"/>
        <w:rPr>
          <w:rFonts w:ascii="Times New Roman" w:hAnsi="Times New Roman"/>
          <w:b/>
          <w:sz w:val="20"/>
        </w:rPr>
      </w:pPr>
      <w:r>
        <w:rPr>
          <w:rFonts w:ascii="Times New Roman" w:hAnsi="Times New Roman"/>
          <w:b/>
          <w:sz w:val="20"/>
        </w:rPr>
        <w:t xml:space="preserve">WARRANT TO PURCHASE COMMON STOCK </w:t>
      </w:r>
    </w:p>
    <w:p>
      <w:pPr>
        <w:pStyle w:val="TextBody"/>
        <w:bidi w:val="0"/>
        <w:spacing w:before="120" w:after="0"/>
        <w:jc w:val="center"/>
        <w:rPr>
          <w:rFonts w:ascii="Times New Roman" w:hAnsi="Times New Roman"/>
          <w:b/>
          <w:sz w:val="20"/>
        </w:rPr>
      </w:pPr>
      <w:r>
        <w:rPr>
          <w:rFonts w:ascii="Times New Roman" w:hAnsi="Times New Roman"/>
          <w:b/>
          <w:sz w:val="20"/>
        </w:rPr>
        <w:t xml:space="preserve">REIN THERAPEUTICS, INC. </w:t>
      </w:r>
    </w:p>
    <w:p>
      <w:pPr>
        <w:pStyle w:val="TextBody"/>
        <w:bidi w:val="0"/>
        <w:spacing w:before="240" w:after="0"/>
        <w:jc w:val="left"/>
        <w:rPr>
          <w:rFonts w:ascii="Times New Roman" w:hAnsi="Times New Roman"/>
          <w:sz w:val="20"/>
        </w:rPr>
      </w:pPr>
      <w:r>
        <w:rPr>
          <w:rFonts w:ascii="Times New Roman" w:hAnsi="Times New Roman"/>
          <w:sz w:val="20"/>
        </w:rPr>
        <w:t xml:space="preserve">Warrant Shares: _______ </w:t>
      </w:r>
    </w:p>
    <w:p>
      <w:pPr>
        <w:pStyle w:val="TextBody"/>
        <w:bidi w:val="0"/>
        <w:spacing w:before="240" w:after="0"/>
        <w:jc w:val="right"/>
        <w:rPr>
          <w:rFonts w:ascii="Times New Roman" w:hAnsi="Times New Roman"/>
          <w:sz w:val="20"/>
        </w:rPr>
      </w:pPr>
      <w:r>
        <w:rPr>
          <w:rFonts w:ascii="Times New Roman" w:hAnsi="Times New Roman"/>
          <w:sz w:val="20"/>
        </w:rPr>
        <w:t xml:space="preserve">Initial Exercise Date: ______, 2026 </w:t>
      </w:r>
    </w:p>
    <w:p>
      <w:pPr>
        <w:pStyle w:val="TextBody"/>
        <w:bidi w:val="0"/>
        <w:spacing w:before="240" w:after="0"/>
        <w:jc w:val="left"/>
        <w:rPr>
          <w:rFonts w:ascii="Times New Roman" w:hAnsi="Times New Roman"/>
          <w:sz w:val="20"/>
        </w:rPr>
      </w:pPr>
      <w:r>
        <w:rPr>
          <w:rFonts w:ascii="Times New Roman" w:hAnsi="Times New Roman"/>
          <w:sz w:val="20"/>
        </w:rPr>
        <w:t>THIS WARRANT TO PURCHASE COMMON STOCK (the “</w:t>
      </w:r>
      <w:r>
        <w:rPr>
          <w:rFonts w:ascii="Times New Roman" w:hAnsi="Times New Roman"/>
          <w:sz w:val="20"/>
          <w:u w:val="single"/>
        </w:rPr>
        <w:t>Warrant</w:t>
      </w:r>
      <w:r>
        <w:rPr>
          <w:rFonts w:ascii="Times New Roman" w:hAnsi="Times New Roman"/>
          <w:sz w:val="20"/>
        </w:rPr>
        <w:t>”) certifies that, for value received, _____________ or its assigns (the “</w:t>
      </w:r>
      <w:r>
        <w:rPr>
          <w:rFonts w:ascii="Times New Roman" w:hAnsi="Times New Roman"/>
          <w:sz w:val="20"/>
          <w:u w:val="single"/>
        </w:rPr>
        <w:t>Holder</w:t>
      </w:r>
      <w:r>
        <w:rPr>
          <w:rFonts w:ascii="Times New Roman" w:hAnsi="Times New Roman"/>
          <w:sz w:val="20"/>
        </w:rPr>
        <w:t>”) is entitled, upon the terms and subject to the limitations on exercise and the conditions hereinafter set forth, at any time on or after ____, 2026, (the “</w:t>
      </w:r>
      <w:r>
        <w:rPr>
          <w:rFonts w:ascii="Times New Roman" w:hAnsi="Times New Roman"/>
          <w:sz w:val="20"/>
          <w:u w:val="single"/>
        </w:rPr>
        <w:t>Initial Exercise Date</w:t>
      </w:r>
      <w:r>
        <w:rPr>
          <w:rFonts w:ascii="Times New Roman" w:hAnsi="Times New Roman"/>
          <w:sz w:val="20"/>
        </w:rPr>
        <w:t>”) and, in accordance with FINRA Rule 5110(g)(8)(A), prior to at 5:00 p.m. (New York time) on the date that is five (5) years following the Effective Date (the “</w:t>
      </w:r>
      <w:r>
        <w:rPr>
          <w:rFonts w:ascii="Times New Roman" w:hAnsi="Times New Roman"/>
          <w:sz w:val="20"/>
          <w:u w:val="single"/>
        </w:rPr>
        <w:t>Termination Date</w:t>
      </w:r>
      <w:r>
        <w:rPr>
          <w:rFonts w:ascii="Times New Roman" w:hAnsi="Times New Roman"/>
          <w:sz w:val="20"/>
        </w:rPr>
        <w:t>”) but not thereafter, to subscribe for and purchase from REIN THERAPEUTICS, INC., a Delaware corporation (the “</w:t>
      </w:r>
      <w:r>
        <w:rPr>
          <w:rFonts w:ascii="Times New Roman" w:hAnsi="Times New Roman"/>
          <w:sz w:val="20"/>
          <w:u w:val="single"/>
        </w:rPr>
        <w:t>Company</w:t>
      </w:r>
      <w:r>
        <w:rPr>
          <w:rFonts w:ascii="Times New Roman" w:hAnsi="Times New Roman"/>
          <w:sz w:val="20"/>
        </w:rPr>
        <w:t>”), up to ______ shares (the “Warrant Shares”) of Common Stock, par value $0.001 per share, of the Company (the “</w:t>
      </w:r>
      <w:r>
        <w:rPr>
          <w:rFonts w:ascii="Times New Roman" w:hAnsi="Times New Roman"/>
          <w:sz w:val="20"/>
          <w:u w:val="single"/>
        </w:rPr>
        <w:t>Common Stock</w:t>
      </w:r>
      <w:r>
        <w:rPr>
          <w:rFonts w:ascii="Times New Roman" w:hAnsi="Times New Roman"/>
          <w:sz w:val="20"/>
        </w:rPr>
        <w:t xml:space="preserve">”), as subject to adjustment hereunder. The purchase price of one share of Common Stock under this Warrant shall be equal to the Exercise Price, as defined in Section 2(b). </w:t>
      </w:r>
    </w:p>
    <w:p>
      <w:pPr>
        <w:pStyle w:val="TextBody"/>
        <w:bidi w:val="0"/>
        <w:spacing w:before="240" w:after="0"/>
        <w:jc w:val="left"/>
        <w:rPr>
          <w:rFonts w:ascii="Times New Roman" w:hAnsi="Times New Roman"/>
          <w:sz w:val="20"/>
        </w:rPr>
      </w:pPr>
      <w:r>
        <w:rPr>
          <w:rFonts w:ascii="Times New Roman" w:hAnsi="Times New Roman"/>
          <w:sz w:val="20"/>
          <w:u w:val="single"/>
        </w:rPr>
        <w:t>Section 1</w:t>
      </w:r>
      <w:r>
        <w:rPr>
          <w:rFonts w:ascii="Times New Roman" w:hAnsi="Times New Roman"/>
          <w:sz w:val="20"/>
        </w:rPr>
        <w:t xml:space="preserve">. </w:t>
      </w:r>
      <w:r>
        <w:rPr>
          <w:rFonts w:ascii="Times New Roman" w:hAnsi="Times New Roman"/>
          <w:sz w:val="20"/>
          <w:u w:val="single"/>
        </w:rPr>
        <w:t>Definitions</w:t>
      </w:r>
      <w:r>
        <w:rPr>
          <w:rFonts w:ascii="Times New Roman" w:hAnsi="Times New Roman"/>
          <w:sz w:val="20"/>
        </w:rPr>
        <w:t xml:space="preserve">. In addition to the terms defined elsewhere in this Agreement, the following terms have the meanings indicated in this Section 1: </w:t>
      </w:r>
    </w:p>
    <w:p>
      <w:pPr>
        <w:pStyle w:val="TextBody"/>
        <w:bidi w:val="0"/>
        <w:spacing w:before="120" w:after="0"/>
        <w:jc w:val="left"/>
        <w:rPr/>
      </w:pPr>
      <w:r>
        <w:rPr/>
        <w:t>“</w:t>
      </w:r>
      <w:r>
        <w:rPr>
          <w:rFonts w:ascii="Times New Roman" w:hAnsi="Times New Roman"/>
          <w:sz w:val="20"/>
          <w:u w:val="single"/>
        </w:rPr>
        <w:t>Affiliate</w:t>
      </w:r>
      <w:r>
        <w:rPr>
          <w:rFonts w:ascii="Times New Roman" w:hAnsi="Times New Roman"/>
          <w:sz w:val="20"/>
        </w:rPr>
        <w:t xml:space="preserve">” means any Person that, directly or indirectly through one or more intermediaries, controls or is controlled by or is under common control with a Person, as such terms are used in and construed under Rule 405 under the Securities Act. </w:t>
      </w:r>
    </w:p>
    <w:p>
      <w:pPr>
        <w:pStyle w:val="TextBody"/>
        <w:bidi w:val="0"/>
        <w:spacing w:before="120" w:after="0"/>
        <w:jc w:val="left"/>
        <w:rPr/>
      </w:pPr>
      <w:r>
        <w:rPr/>
        <w:t>“</w:t>
      </w:r>
      <w:r>
        <w:rPr>
          <w:rFonts w:ascii="Times New Roman" w:hAnsi="Times New Roman"/>
          <w:sz w:val="20"/>
          <w:u w:val="single"/>
        </w:rPr>
        <w:t>Business Day</w:t>
      </w:r>
      <w:r>
        <w:rPr>
          <w:rFonts w:ascii="Times New Roman" w:hAnsi="Times New Roman"/>
          <w:sz w:val="20"/>
        </w:rPr>
        <w:t xml:space="preserve">” means any day except any Saturday, any Sunday, any day which is a federal legal holiday in the United States or any day on which banking institutions in the State of New York are authorized or required by law or other governmental action to close. </w:t>
      </w:r>
    </w:p>
    <w:p>
      <w:pPr>
        <w:pStyle w:val="TextBody"/>
        <w:bidi w:val="0"/>
        <w:spacing w:before="120" w:after="0"/>
        <w:jc w:val="left"/>
        <w:rPr/>
      </w:pPr>
      <w:r>
        <w:rPr/>
        <w:t>“</w:t>
      </w:r>
      <w:r>
        <w:rPr>
          <w:rFonts w:ascii="Times New Roman" w:hAnsi="Times New Roman"/>
          <w:sz w:val="20"/>
          <w:u w:val="single"/>
        </w:rPr>
        <w:t>Commission</w:t>
      </w:r>
      <w:r>
        <w:rPr>
          <w:rFonts w:ascii="Times New Roman" w:hAnsi="Times New Roman"/>
          <w:sz w:val="20"/>
        </w:rPr>
        <w:t xml:space="preserve">” means the United States Securities and Exchange Commission. </w:t>
      </w:r>
    </w:p>
    <w:p>
      <w:pPr>
        <w:pStyle w:val="TextBody"/>
        <w:bidi w:val="0"/>
        <w:spacing w:before="120" w:after="0"/>
        <w:jc w:val="left"/>
        <w:rPr/>
      </w:pPr>
      <w:r>
        <w:rPr/>
        <w:t>“</w:t>
      </w:r>
      <w:r>
        <w:rPr>
          <w:rFonts w:ascii="Times New Roman" w:hAnsi="Times New Roman"/>
          <w:sz w:val="20"/>
          <w:u w:val="single"/>
        </w:rPr>
        <w:t>Effective Date</w:t>
      </w:r>
      <w:r>
        <w:rPr>
          <w:rFonts w:ascii="Times New Roman" w:hAnsi="Times New Roman"/>
          <w:sz w:val="20"/>
        </w:rPr>
        <w:t xml:space="preserve">” means the effective date of the registration statement on Form S-1 (File No. 333-[ ]), including any related prospectus or prospectuses, for the registration of the Company’s Common Stock and the Warrant Shares under the Securities Act, that the Company has filed with the Commission. </w:t>
      </w:r>
    </w:p>
    <w:p>
      <w:pPr>
        <w:pStyle w:val="TextBody"/>
        <w:bidi w:val="0"/>
        <w:spacing w:before="120" w:after="0"/>
        <w:jc w:val="left"/>
        <w:rPr/>
      </w:pPr>
      <w:r>
        <w:rPr/>
        <w:t>“</w:t>
      </w:r>
      <w:r>
        <w:rPr>
          <w:rFonts w:ascii="Times New Roman" w:hAnsi="Times New Roman"/>
          <w:sz w:val="20"/>
          <w:u w:val="single"/>
        </w:rPr>
        <w:t>Exchange Act</w:t>
      </w:r>
      <w:r>
        <w:rPr>
          <w:rFonts w:ascii="Times New Roman" w:hAnsi="Times New Roman"/>
          <w:sz w:val="20"/>
        </w:rPr>
        <w:t xml:space="preserve">” means the Securities Exchange Act of 1934, as amended, and the rules and regulations promulgated thereunder.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Person</w:t>
      </w:r>
      <w:r>
        <w:rPr>
          <w:rFonts w:ascii="Times New Roman" w:hAnsi="Times New Roman"/>
          <w:sz w:val="20"/>
        </w:rPr>
        <w:t xml:space="preserve">” means an individual or corporation, partnership, trust, incorporated or unincorporated association, joint venture, limited liability company, joint stock company, government (or an agency or subdivision thereof) or other entity of any kind. </w:t>
      </w:r>
    </w:p>
    <w:p>
      <w:pPr>
        <w:pStyle w:val="TextBody"/>
        <w:bidi w:val="0"/>
        <w:spacing w:before="120" w:after="0"/>
        <w:jc w:val="left"/>
        <w:rPr/>
      </w:pPr>
      <w:r>
        <w:rPr/>
        <w:t>“</w:t>
      </w:r>
      <w:r>
        <w:rPr>
          <w:rFonts w:ascii="Times New Roman" w:hAnsi="Times New Roman"/>
          <w:sz w:val="20"/>
          <w:u w:val="single"/>
        </w:rPr>
        <w:t>Rule 144</w:t>
      </w:r>
      <w:r>
        <w:rPr>
          <w:rFonts w:ascii="Times New Roman" w:hAnsi="Times New Roman"/>
          <w:sz w:val="20"/>
        </w:rPr>
        <w:t xml:space="preserve">” means Rule 144 promulgated by the Commission pursuant to the Securities Act, as such Rule may be amended or interpreted from time to time, or any similar rule or regulation hereafter adopted by the Commission having substantially the same purpose and effect as such Rule. </w:t>
      </w:r>
    </w:p>
    <w:p>
      <w:pPr>
        <w:pStyle w:val="TextBody"/>
        <w:bidi w:val="0"/>
        <w:spacing w:before="120" w:after="0"/>
        <w:jc w:val="left"/>
        <w:rPr/>
      </w:pPr>
      <w:r>
        <w:rPr/>
        <w:t>“</w:t>
      </w:r>
      <w:r>
        <w:rPr>
          <w:rFonts w:ascii="Times New Roman" w:hAnsi="Times New Roman"/>
          <w:sz w:val="20"/>
          <w:u w:val="single"/>
        </w:rPr>
        <w:t>Securities Act</w:t>
      </w:r>
      <w:r>
        <w:rPr>
          <w:rFonts w:ascii="Times New Roman" w:hAnsi="Times New Roman"/>
          <w:sz w:val="20"/>
        </w:rPr>
        <w:t xml:space="preserve">” means the Securities Act of 1933, as amended, and the rules and regulations promulgated thereunder. </w:t>
      </w:r>
    </w:p>
    <w:p>
      <w:pPr>
        <w:pStyle w:val="TextBody"/>
        <w:bidi w:val="0"/>
        <w:spacing w:before="120" w:after="0"/>
        <w:jc w:val="left"/>
        <w:rPr/>
      </w:pPr>
      <w:r>
        <w:rPr/>
        <w:t>“</w:t>
      </w:r>
      <w:r>
        <w:rPr>
          <w:rFonts w:ascii="Times New Roman" w:hAnsi="Times New Roman"/>
          <w:sz w:val="20"/>
          <w:u w:val="single"/>
        </w:rPr>
        <w:t>Trading Day</w:t>
      </w:r>
      <w:r>
        <w:rPr>
          <w:rFonts w:ascii="Times New Roman" w:hAnsi="Times New Roman"/>
          <w:sz w:val="20"/>
        </w:rPr>
        <w:t xml:space="preserve">” means a day on which the New York Stock Exchange is open for trading. </w:t>
      </w:r>
    </w:p>
    <w:p>
      <w:pPr>
        <w:pStyle w:val="TextBody"/>
        <w:bidi w:val="0"/>
        <w:spacing w:before="120" w:after="0"/>
        <w:jc w:val="left"/>
        <w:rPr/>
      </w:pPr>
      <w:r>
        <w:rPr/>
        <w:t>“</w:t>
      </w:r>
      <w:r>
        <w:rPr>
          <w:rFonts w:ascii="Times New Roman" w:hAnsi="Times New Roman"/>
          <w:sz w:val="20"/>
          <w:u w:val="single"/>
        </w:rPr>
        <w:t>Trading Market</w:t>
      </w:r>
      <w:r>
        <w:rPr>
          <w:rFonts w:ascii="Times New Roman" w:hAnsi="Times New Roman"/>
          <w:sz w:val="20"/>
        </w:rPr>
        <w:t xml:space="preserve">”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 </w:t>
      </w:r>
    </w:p>
    <w:p>
      <w:pPr>
        <w:pStyle w:val="TextBody"/>
        <w:bidi w:val="0"/>
        <w:spacing w:before="120" w:after="0"/>
        <w:jc w:val="left"/>
        <w:rPr/>
      </w:pPr>
      <w:r>
        <w:rPr/>
        <w:t>“</w:t>
      </w:r>
      <w:r>
        <w:rPr>
          <w:rFonts w:ascii="Times New Roman" w:hAnsi="Times New Roman"/>
          <w:sz w:val="20"/>
          <w:u w:val="single"/>
        </w:rPr>
        <w:t>VWAP</w:t>
      </w:r>
      <w:r>
        <w:rPr>
          <w:rFonts w:ascii="Times New Roman" w:hAnsi="Times New Roman"/>
          <w:sz w:val="20"/>
        </w:rPr>
        <w:t xml:space="preserve">” means, for any date, the price determined by the first of the following clauses that applies: (a) if the Common Stock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a share of Common Stock for such date (or the nearest preceding date) on the OTCQB or OTCQX as applicable, (c) if Common Stock is not then listed or quoted for trading on the OTCQB or OTCQX and if prices for Common Stock are then reported in the “Pink Sheets” published by OTC Markets Group, Inc. (or a similar organization or agency succeeding to its functions of reporting prices), the most recent bid price per share of Common Stock so reported or (d) in all other cases, the fair market value of the Common Stock as determined by an independent appraiser selected in good faith by the Holder and reasonably acceptable to the Company, the fees and expenses of which shall be paid by the Company. </w:t>
      </w:r>
    </w:p>
    <w:p>
      <w:pPr>
        <w:pStyle w:val="TextBody"/>
        <w:bidi w:val="0"/>
        <w:spacing w:before="240" w:after="0"/>
        <w:jc w:val="left"/>
        <w:rPr>
          <w:rFonts w:ascii="Times New Roman" w:hAnsi="Times New Roman"/>
          <w:sz w:val="20"/>
        </w:rPr>
      </w:pPr>
      <w:r>
        <w:rPr>
          <w:rFonts w:ascii="Times New Roman" w:hAnsi="Times New Roman"/>
          <w:sz w:val="20"/>
          <w:u w:val="single"/>
        </w:rPr>
        <w:t>Section 2</w:t>
      </w:r>
      <w:r>
        <w:rPr>
          <w:rFonts w:ascii="Times New Roman" w:hAnsi="Times New Roman"/>
          <w:sz w:val="20"/>
        </w:rPr>
        <w:t xml:space="preserve">. </w:t>
      </w:r>
      <w:r>
        <w:rPr>
          <w:rFonts w:ascii="Times New Roman" w:hAnsi="Times New Roman"/>
          <w:sz w:val="20"/>
          <w:u w:val="single"/>
        </w:rPr>
        <w:t>Exercise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Exercise of the purchase rights represented by this Warrant may be made, in whole or in part, at any time or times on or after the Initial Exercise Date and on or before the Termination Date by delivery to the Company (or such other office or agency of the Company as it may designate by notice in writing to the registered Holder at the address of the Holder appearing on the books of the Company) of a duly executed facsimile copy (or e-mail attachment) of the Notice of Exercise Form annexed hereto. Within two (2) Trading Days following the date of exercise as aforesaid, the Holder shall deliver the aggregate Exercise Price for the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form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five (5) Trading Days of the date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Form within two (2) Business Days of receipt of such notice. </w:t>
      </w:r>
      <w:r>
        <w:rPr>
          <w:rFonts w:ascii="Times New Roman" w:hAnsi="Times New Roman"/>
          <w:b/>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Exercise Price</w:t>
      </w:r>
      <w:r>
        <w:rPr>
          <w:rFonts w:ascii="Times New Roman" w:hAnsi="Times New Roman"/>
          <w:sz w:val="20"/>
        </w:rPr>
        <w:t xml:space="preserve">. The exercise price per share of the Common Stock under this Warrant shall be </w:t>
      </w:r>
      <w:r>
        <w:rPr>
          <w:rFonts w:ascii="Times New Roman" w:hAnsi="Times New Roman"/>
          <w:b/>
          <w:sz w:val="20"/>
        </w:rPr>
        <w:t>$_______</w:t>
      </w:r>
      <w:r>
        <w:rPr>
          <w:rFonts w:ascii="Times New Roman" w:hAnsi="Times New Roman"/>
          <w:sz w:val="20"/>
        </w:rPr>
        <w:t>1, subject to adjustment hereunder (the “</w:t>
      </w:r>
      <w:r>
        <w:rPr>
          <w:rFonts w:ascii="Times New Roman" w:hAnsi="Times New Roman"/>
          <w:sz w:val="20"/>
          <w:u w:val="single"/>
        </w:rPr>
        <w:t>Exercise Price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Cashless Exercise</w:t>
      </w:r>
      <w:r>
        <w:rPr>
          <w:rFonts w:ascii="Times New Roman" w:hAnsi="Times New Roman"/>
          <w:sz w:val="20"/>
        </w:rPr>
        <w:t xml:space="preserve">. If, after the Initial Exercise Date, there is no effective registration statement registering, or the prospectus contained therein is not available for the resale of the Warrant Shares by Holder, then in lieu of exercising this Warrant by delivering the aggregate Exercise Price by wire transfer or cashier’s check, at the election of the Holder this Warrant may also be exercised, in whole or in part, at such time by means of a “cashless exercise” in which the Holder shall be entitled to receive the number of Warrant Shares equal to the quotient obtained by dividing [(A-B) (X)] by (A), 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 =</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600(b)(64) of Regulation NMS promulgated under the federal securities laws) on such Trading Day, (ii) the VWAP on the Trading Day immediately preceding the date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Exercise Price of this Warrant, as adjusted hereunder;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(X)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Warrant Shares that would be issuable upon exercise of this Warrant in accordance with the terms of this Warrant if such exercise were by means of a cash exercise rather than a cashless exercise.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Warrant Shares are issued in such a “cashless exercise,” the parties acknowledge and agree that in accordance with Section 3(a)(9) of the Securities Act, the Warrant Shares shall take on the registered characteristics of the Warrants being exercised, and the holding period of the Warrants being exercised may be tacked on to the holding period of the Warrant Shares. The Company agrees not to take any position contrary to this Section 2(c).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Mechanics of Exercise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Delivery of Warrant Shares Upon Exercise</w:t>
      </w:r>
      <w:r>
        <w:rPr>
          <w:rFonts w:ascii="Times New Roman" w:hAnsi="Times New Roman"/>
          <w:sz w:val="20"/>
        </w:rPr>
        <w:t>. The Company shall cause the Warrant Shares purchased hereunder to be transmitted by its transfer agent to the Holder by crediting the account of the Holder’s or its designee’s balance account with The Depository Trust Company through its Deposit or Withdrawal at Custodian system (“</w:t>
      </w:r>
      <w:r>
        <w:rPr>
          <w:rFonts w:ascii="Times New Roman" w:hAnsi="Times New Roman"/>
          <w:sz w:val="20"/>
          <w:u w:val="single"/>
        </w:rPr>
        <w:t>DWAC</w:t>
      </w:r>
      <w:r>
        <w:rPr>
          <w:rFonts w:ascii="Times New Roman" w:hAnsi="Times New Roman"/>
          <w:sz w:val="20"/>
        </w:rPr>
        <w:t>”) if the Company is then a participant in such system and either (A) there is an effective registration statement permitting the issuance of the Warrant Shares to or resale of the Warrant Shares by Holder, or (B) the Warrant Shares are eligible for resale by the Holder without volume or manner-of-sale limitations pursuant to Rule 144 and, in either case, the Warrant Shares have been sold by the Holder prior to the Warrant Share Delivery Date (as defined below),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two (2) Trading Days after the delivery to the Company of the Notice of Exercise (such date, the “</w:t>
      </w:r>
      <w:r>
        <w:rPr>
          <w:rFonts w:ascii="Times New Roman" w:hAnsi="Times New Roman"/>
          <w:sz w:val="20"/>
          <w:u w:val="single"/>
        </w:rPr>
        <w:t>Warrant Share Delivery Date</w:t>
      </w:r>
      <w:r>
        <w:rPr>
          <w:rFonts w:ascii="Times New Roman" w:hAnsi="Times New Roman"/>
          <w:sz w:val="20"/>
        </w:rPr>
        <w:t xml:space="preserve">”). If the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150% of the public offering price per share of common stock and warrant in the offering.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Warrant Shares can be delivered via DWAC, the transfer agent shall have received from the Company, at the expense of the Company, any legal opinions or other documentation required by it to deliver such Warrant Shares without legend (subject to receipt by the Company of reasonable back up documentation from the Holder, including with respect to affiliate status) and, if applicable and requested by the Company prior to the Warrant Share Delivery Date, the transfer agent shall have received from the Holder a confirmation of sale of the Warrant Shares (provided the requirement of the Holder to provide a confirmation as to the sale of Warrant Shares shall not be applicable to the issuance of unlegended Warrant Shares upon a cashless exercise of this Warrant if the Warrant Shares are then eligible for resale pursuant to Rule 144(b)(1)). The Warrant Shares shall be deemed to have been issued, and Holder or any other person so designated to be named therein shall be deemed to have become a holder of record of such shares for all purposes, as of the date the Warrant has been exercised, with payment to the Company of the Exercise Price (or by cashless exercise, if permitted) and all taxes required to be paid by the Holder, if any, pursuant to Section 2(d)(vi) prior to the issuance of such shares, having been paid. If the Company fails for any reason to deliver to the Holder the Warrant Shares subject to a Notice of Exercise by the second Trading Day following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such liquidated damages begin to accrue) for each Trading Day after the second Trading Day following such Warrant Share Delivery Date until such Warrant Shares are delivered or Holder rescinds such exercise.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Delivery of New Warrants Upon Exercise</w:t>
      </w:r>
      <w:r>
        <w:rPr>
          <w:rFonts w:ascii="Times New Roman" w:hAnsi="Times New Roman"/>
          <w:sz w:val="20"/>
        </w:rPr>
        <w:t xml:space="preserve">.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Rescission Rights</w:t>
      </w:r>
      <w:r>
        <w:rPr>
          <w:rFonts w:ascii="Times New Roman" w:hAnsi="Times New Roman"/>
          <w:sz w:val="20"/>
        </w:rPr>
        <w:t xml:space="preserve">. If the Company fails to cause its transfer agent to deliver to the Holder the Warrant Shares pursuant to Section 2(d)(i) by the Warrant Share Delivery Date, then the Holder will have the right to rescind such exercise;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Holder shall be required to return any Warrant Shares or Common Stock subject to any such rescinded exercise notice concurrently with the return to Holder of the aggregate Exercise Price paid to the Company for such Warrant Shares and the restoration of Holder’s right to acquire such Warrant Shares pursuant to this Warrant (including, issuance of a replacement warrant certificate evidencing such restored right).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Compensation for Buy-In on Failure to Timely Deliver Warrant Shares Upon Exercise</w:t>
      </w:r>
      <w:r>
        <w:rPr>
          <w:rFonts w:ascii="Times New Roman" w:hAnsi="Times New Roman"/>
          <w:sz w:val="20"/>
        </w:rPr>
        <w:t>. In addition to any other rights available to the Holder, if the Company fails to cause its transfer agent to transmit to the Holder the Warrant Shares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hAnsi="Times New Roman"/>
          <w:sz w:val="20"/>
          <w:u w:val="single"/>
        </w:rPr>
        <w:t>Buy-In</w:t>
      </w:r>
      <w:r>
        <w:rPr>
          <w:rFonts w:ascii="Times New Roman" w:hAnsi="Times New Roman"/>
          <w:sz w:val="20"/>
        </w:rPr>
        <w:t xml:space="preserve">”),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No Fractional Shares or Scrip</w:t>
      </w:r>
      <w:r>
        <w:rPr>
          <w:rFonts w:ascii="Times New Roman" w:hAnsi="Times New Roman"/>
          <w:sz w:val="20"/>
        </w:rPr>
        <w:t xml:space="preserve">.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Charges, Taxes and Expenses</w:t>
      </w:r>
      <w:r>
        <w:rPr>
          <w:rFonts w:ascii="Times New Roman" w:hAnsi="Times New Roman"/>
          <w:sz w:val="20"/>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 </w:t>
      </w:r>
    </w:p>
    <w:p>
      <w:pPr>
        <w:pStyle w:val="TextBody"/>
        <w:bidi w:val="0"/>
        <w:spacing w:before="120" w:after="0"/>
        <w:jc w:val="left"/>
        <w:rPr>
          <w:rFonts w:ascii="Times New Roman" w:hAnsi="Times New Roman"/>
          <w:sz w:val="20"/>
        </w:rPr>
      </w:pPr>
      <w:r>
        <w:rPr>
          <w:rFonts w:ascii="Times New Roman" w:hAnsi="Times New Roman"/>
          <w:sz w:val="20"/>
        </w:rPr>
        <w:t xml:space="preserve">vii. </w:t>
      </w:r>
      <w:r>
        <w:rPr>
          <w:rFonts w:ascii="Times New Roman" w:hAnsi="Times New Roman"/>
          <w:sz w:val="20"/>
          <w:u w:val="single"/>
        </w:rPr>
        <w:t>Closing of Books</w:t>
      </w:r>
      <w:r>
        <w:rPr>
          <w:rFonts w:ascii="Times New Roman" w:hAnsi="Times New Roman"/>
          <w:sz w:val="20"/>
        </w:rPr>
        <w:t xml:space="preserve">. The Company will not close its stockholder books or records in any manner which prevents the timely exercise of this Warrant, pursuant to the terms hereof. </w:t>
      </w:r>
    </w:p>
    <w:p>
      <w:pPr>
        <w:pStyle w:val="TextBody"/>
        <w:bidi w:val="0"/>
        <w:spacing w:before="120" w:after="0"/>
        <w:jc w:val="left"/>
        <w:rPr>
          <w:rFonts w:ascii="Times New Roman" w:hAnsi="Times New Roman"/>
          <w:sz w:val="20"/>
        </w:rPr>
      </w:pPr>
      <w:r>
        <w:rPr>
          <w:rFonts w:ascii="Times New Roman" w:hAnsi="Times New Roman"/>
          <w:sz w:val="20"/>
        </w:rPr>
        <w:t xml:space="preserve">viii. </w:t>
      </w:r>
      <w:r>
        <w:rPr>
          <w:rFonts w:ascii="Times New Roman" w:hAnsi="Times New Roman"/>
          <w:sz w:val="20"/>
          <w:u w:val="single"/>
        </w:rPr>
        <w:t>Signature</w:t>
      </w:r>
      <w:r>
        <w:rPr>
          <w:rFonts w:ascii="Times New Roman" w:hAnsi="Times New Roman"/>
          <w:sz w:val="20"/>
        </w:rPr>
        <w:t xml:space="preserve">. This Section 2 and the exercise form attached hereto set forth the totality of the procedures required of the Holder in order to exercise this Purchase Warrant. Without limiting the preceding sentences, no ink-original exercise form shall be required, nor shall any medallion guarantee (or other type of guarantee or notarization) of any exercise form be required in order to exercise this Purchase Warrant. No additional legal opinion, other information or instructions shall be required of the Holder to exercise this Purchase Warrant. The Company shall honor exercises of this Purchase Warrant and shall deliver Shares underlying this Purchase Warrant in accordance with the terms, conditions and time periods set forth herein.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Holder’s Exercise Limitations</w:t>
      </w:r>
      <w:r>
        <w:rPr>
          <w:rFonts w:ascii="Times New Roman" w:hAnsi="Times New Roman"/>
          <w:sz w:val="20"/>
        </w:rPr>
        <w:t xml:space="preserve">.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would beneficially own in excess of the Beneficial Ownership Limitation (as defined below). For purposes of the foregoing sentence, the number of shares of Common Stock beneficially owned by the Holder and its Affiliates shall include the number of shares 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Company’s transfer agent setting forth the number of shares of Common Stock outstanding. Upon the written or oral request of a Holder, the Company shall within two Trading Days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since the date as of which such number of outstanding shares of Common Stock was reported. The “</w:t>
      </w:r>
      <w:r>
        <w:rPr>
          <w:rFonts w:ascii="Times New Roman" w:hAnsi="Times New Roman"/>
          <w:sz w:val="20"/>
          <w:u w:val="single"/>
        </w:rPr>
        <w:t>Beneficial Ownership Limitation</w:t>
      </w:r>
      <w:r>
        <w:rPr>
          <w:rFonts w:ascii="Times New Roman" w:hAnsi="Times New Roman"/>
          <w:sz w:val="20"/>
        </w:rPr>
        <w:t xml:space="preserve">” shall be 9.99%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 Beneficial Ownership Limitation will not be effective until the 61st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 </w:t>
      </w:r>
    </w:p>
    <w:p>
      <w:pPr>
        <w:pStyle w:val="TextBody"/>
        <w:bidi w:val="0"/>
        <w:spacing w:before="240" w:after="0"/>
        <w:jc w:val="left"/>
        <w:rPr>
          <w:rFonts w:ascii="Times New Roman" w:hAnsi="Times New Roman"/>
          <w:sz w:val="20"/>
        </w:rPr>
      </w:pPr>
      <w:r>
        <w:rPr>
          <w:rFonts w:ascii="Times New Roman" w:hAnsi="Times New Roman"/>
          <w:sz w:val="20"/>
          <w:u w:val="single"/>
        </w:rPr>
        <w:t>Section 3</w:t>
      </w:r>
      <w:r>
        <w:rPr>
          <w:rFonts w:ascii="Times New Roman" w:hAnsi="Times New Roman"/>
          <w:sz w:val="20"/>
        </w:rPr>
        <w:t xml:space="preserve">. </w:t>
      </w:r>
      <w:r>
        <w:rPr>
          <w:rFonts w:ascii="Times New Roman" w:hAnsi="Times New Roman"/>
          <w:sz w:val="20"/>
          <w:u w:val="single"/>
        </w:rPr>
        <w:t>Certain Adjustments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Stock Dividends and Splits</w:t>
      </w:r>
      <w:r>
        <w:rPr>
          <w:rFonts w:ascii="Times New Roman" w:hAnsi="Times New Roman"/>
          <w:sz w:val="20"/>
        </w:rPr>
        <w:t xml:space="preserve">.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 For the purposes of clarification, the Exercise Price of this Warrant will not be adjusted in the event that the Company or any Subsidiary thereof, as applicable, sells or grants any option to purchase, or sell or grant any right to reprice, or otherwise dispose of or issue (or announce any offer, sale, grant or any option to purchase or other disposition) any Common Stock or Common Stock Equivalents, at an effective price per share less than the Exercise Price then in effect. </w:t>
      </w:r>
    </w:p>
    <w:p>
      <w:pPr>
        <w:pStyle w:val="TextBody"/>
        <w:bidi w:val="0"/>
        <w:spacing w:before="120" w:after="0"/>
        <w:jc w:val="left"/>
        <w:rPr>
          <w:rFonts w:ascii="Times New Roman" w:hAnsi="Times New Roman"/>
          <w:sz w:val="20"/>
        </w:rPr>
      </w:pPr>
      <w:r>
        <w:rPr>
          <w:rFonts w:ascii="Times New Roman" w:hAnsi="Times New Roman"/>
          <w:sz w:val="20"/>
        </w:rPr>
        <w:t xml:space="preserve">b) [RESERVED]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Subsequent Rights Offerings</w:t>
      </w:r>
      <w:r>
        <w:rPr>
          <w:rFonts w:ascii="Times New Roman" w:hAnsi="Times New Roman"/>
          <w:sz w:val="20"/>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hAnsi="Times New Roman"/>
          <w:sz w:val="20"/>
          <w:u w:val="single"/>
        </w:rPr>
        <w:t>Purchase Rights</w:t>
      </w:r>
      <w:r>
        <w:rPr>
          <w:rFonts w:ascii="Times New Roman" w:hAnsi="Times New Roman"/>
          <w:sz w:val="20"/>
        </w:rPr>
        <w:t xml:space="preserve">”),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Pro Rata Distributions</w:t>
      </w:r>
      <w:r>
        <w:rPr>
          <w:rFonts w:ascii="Times New Roman" w:hAnsi="Times New Roman"/>
          <w:sz w:val="20"/>
        </w:rPr>
        <w:t>. During such time as this Warrant is outstanding, if the Company shall declare or make any dividend (other than cash dividends) or other distribution of its assets (or rights to acquire its assets) to holders of shares of Common Stock, by way of return of capital or otherwise (including, without limitation, any distribution of shares or other securities, property or options by way of a dividend, spin off, reclassification, corporate rearrangement, scheme of arrangement or other similar transaction) (a “</w:t>
      </w:r>
      <w:r>
        <w:rPr>
          <w:rFonts w:ascii="Times New Roman" w:hAnsi="Times New Roman"/>
          <w:sz w:val="20"/>
          <w:u w:val="single"/>
        </w:rPr>
        <w:t>Distribution</w:t>
      </w:r>
      <w:r>
        <w:rPr>
          <w:rFonts w:ascii="Times New Roman" w:hAnsi="Times New Roman"/>
          <w:sz w:val="20"/>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 To the extent that this Warrant has not been partially or completely exercised at the time of such Distribution, such portion of the Distribution shall be held in abeyance for the benefit of the Holder until the Holder has exercised this Warrant.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Fundamental Transaction</w:t>
      </w:r>
      <w:r>
        <w:rPr>
          <w:rFonts w:ascii="Times New Roman" w:hAnsi="Times New Roman"/>
          <w:sz w:val="20"/>
        </w:rPr>
        <w:t xml:space="preserve">. If, at any time while this Warrant is outstanding, (i) the Company, directly or indirectly, in one or more related transactions effects any merger or consolidation of the Company with or into another Person, (ii) the Company,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of 50% or more of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or scheme of arrangement) with another Person or group of Persons whereby such other Person or group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Times New Roman" w:hAnsi="Times New Roman"/>
          <w:sz w:val="20"/>
          <w:u w:val="single"/>
        </w:rPr>
        <w:t>Fundamental Transaction</w:t>
      </w:r>
      <w:r>
        <w:rPr>
          <w:rFonts w:ascii="Times New Roman" w:hAnsi="Times New Roman"/>
          <w:sz w:val="20"/>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hAnsi="Times New Roman"/>
          <w:sz w:val="20"/>
          <w:u w:val="single"/>
        </w:rPr>
        <w:t>Alternate Consideration</w:t>
      </w:r>
      <w:r>
        <w:rPr>
          <w:rFonts w:ascii="Times New Roman" w:hAnsi="Times New Roman"/>
          <w:sz w:val="20"/>
        </w:rPr>
        <w:t>”) receivable by holders of Common Stock as a result of such Fundamental Transaction for each share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 w:hAnsi="Times New Roman"/>
          <w:sz w:val="20"/>
          <w:u w:val="single"/>
        </w:rPr>
        <w:t>Successor Entity</w:t>
      </w:r>
      <w:r>
        <w:rPr>
          <w:rFonts w:ascii="Times New Roman" w:hAnsi="Times New Roman"/>
          <w:sz w:val="20"/>
        </w:rPr>
        <w:t xml:space="preserve">”) to assume in writing all of the obligations of the Company under this Warrant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Calculations</w:t>
      </w:r>
      <w:r>
        <w:rPr>
          <w:rFonts w:ascii="Times New Roman" w:hAnsi="Times New Roman"/>
          <w:sz w:val="20"/>
        </w:rPr>
        <w:t xml:space="preserve">.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Notice to Holder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Adjustment to Exercise Price</w:t>
      </w:r>
      <w:r>
        <w:rPr>
          <w:rFonts w:ascii="Times New Roman" w:hAnsi="Times New Roman"/>
          <w:sz w:val="20"/>
        </w:rPr>
        <w:t xml:space="preserve">. Whenever the Exercise Price is adjusted pursuant to any provision of this Section 3, the Company shall promptly mail to the Holder a notice setting forth the Exercise Price after such adjustment and any resulting adjustment to the number of Warrant Shares and setting forth a brief statement of the facts requiring such adjustment.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Notice to Allow Exercise by Holder</w:t>
      </w:r>
      <w:r>
        <w:rPr>
          <w:rFonts w:ascii="Times New Roman" w:hAnsi="Times New Roman"/>
          <w:sz w:val="20"/>
        </w:rPr>
        <w:t xml:space="preserve">.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mailed a notice to the Holder at its last address as it shall appear upon the Warrant Register of the Company, at least 20 calendar days prior to the applicable record or effective date hereinafter specified,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provide such notice or any defect therein shall not affect the validity of the corporate action required to be specified in such notice. To the extent that any notice provided hereunder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 </w:t>
      </w:r>
    </w:p>
    <w:p>
      <w:pPr>
        <w:pStyle w:val="TextBody"/>
        <w:bidi w:val="0"/>
        <w:spacing w:before="240" w:after="0"/>
        <w:jc w:val="left"/>
        <w:rPr>
          <w:rFonts w:ascii="Times New Roman" w:hAnsi="Times New Roman"/>
          <w:sz w:val="20"/>
        </w:rPr>
      </w:pPr>
      <w:r>
        <w:rPr>
          <w:rFonts w:ascii="Times New Roman" w:hAnsi="Times New Roman"/>
          <w:sz w:val="20"/>
          <w:u w:val="single"/>
        </w:rPr>
        <w:t>Section 4</w:t>
      </w:r>
      <w:r>
        <w:rPr>
          <w:rFonts w:ascii="Times New Roman" w:hAnsi="Times New Roman"/>
          <w:sz w:val="20"/>
        </w:rPr>
        <w:t xml:space="preserve">. </w:t>
      </w:r>
      <w:r>
        <w:rPr>
          <w:rFonts w:ascii="Times New Roman" w:hAnsi="Times New Roman"/>
          <w:sz w:val="20"/>
          <w:u w:val="single"/>
        </w:rPr>
        <w:t>Transfer of Warrant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Transferability</w:t>
      </w:r>
      <w:r>
        <w:rPr>
          <w:rFonts w:ascii="Times New Roman" w:hAnsi="Times New Roman"/>
          <w:sz w:val="20"/>
        </w:rPr>
        <w:t xml:space="preserve">. Pursuant to FINRA Rule 5110(e)(1), neither this Warrant nor any Warrant Shares issued upon exercise of this Warrant shall be sold, transferred, assigned, pledged, or hypothecated, or be the subject of any hedging, short sale, derivative, put, or call transaction that would result in the effective economic disposition of the securities by any person for a period of 180 days immediately following the date of effectiveness or commencement of sales of the offering pursuant to which this Warrant is being issued, except the transfer of any security: </w:t>
      </w:r>
    </w:p>
    <w:p>
      <w:pPr>
        <w:pStyle w:val="TextBody"/>
        <w:bidi w:val="0"/>
        <w:spacing w:before="120" w:after="0"/>
        <w:jc w:val="left"/>
        <w:rPr>
          <w:rFonts w:ascii="Times New Roman" w:hAnsi="Times New Roman"/>
          <w:sz w:val="20"/>
        </w:rPr>
      </w:pPr>
      <w:r>
        <w:rPr>
          <w:rFonts w:ascii="Times New Roman" w:hAnsi="Times New Roman"/>
          <w:sz w:val="20"/>
        </w:rPr>
        <w:t xml:space="preserve">i. by operation of law or by reason of reorganization of the Company;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to any FINRA member firm participating in the offering and the officers or partners thereof, if all securities so transferred remain subject to the lock-up restriction in this Section 4(a) for the remainder of the time period; </w:t>
      </w:r>
    </w:p>
    <w:p>
      <w:pPr>
        <w:pStyle w:val="TextBody"/>
        <w:bidi w:val="0"/>
        <w:spacing w:before="120" w:after="0"/>
        <w:jc w:val="left"/>
        <w:rPr>
          <w:rFonts w:ascii="Times New Roman" w:hAnsi="Times New Roman"/>
          <w:sz w:val="20"/>
        </w:rPr>
      </w:pPr>
      <w:r>
        <w:rPr>
          <w:rFonts w:ascii="Times New Roman" w:hAnsi="Times New Roman"/>
          <w:sz w:val="20"/>
        </w:rPr>
        <w:t xml:space="preserve">iii. if the aggregate amount of securities of the Company held by the Holder or related person do not exceed 1% of the securities being offered; </w:t>
      </w:r>
    </w:p>
    <w:p>
      <w:pPr>
        <w:pStyle w:val="TextBody"/>
        <w:bidi w:val="0"/>
        <w:spacing w:before="120" w:after="0"/>
        <w:jc w:val="left"/>
        <w:rPr>
          <w:rFonts w:ascii="Times New Roman" w:hAnsi="Times New Roman"/>
          <w:sz w:val="20"/>
        </w:rPr>
      </w:pPr>
      <w:r>
        <w:rPr>
          <w:rFonts w:ascii="Times New Roman" w:hAnsi="Times New Roman"/>
          <w:sz w:val="20"/>
        </w:rPr>
        <w:t xml:space="preserve">iv. that is beneficially owned on a pro-rata basis by all equity owners of an investment fund, provided that no participating member manages or otherwise directs investments by the fund, and participating members in the aggregate do not own more than 10% of the equity in the fund; or </w:t>
      </w:r>
    </w:p>
    <w:p>
      <w:pPr>
        <w:pStyle w:val="TextBody"/>
        <w:bidi w:val="0"/>
        <w:spacing w:before="120" w:after="0"/>
        <w:jc w:val="left"/>
        <w:rPr>
          <w:rFonts w:ascii="Times New Roman" w:hAnsi="Times New Roman"/>
          <w:sz w:val="20"/>
        </w:rPr>
      </w:pPr>
      <w:r>
        <w:rPr>
          <w:rFonts w:ascii="Times New Roman" w:hAnsi="Times New Roman"/>
          <w:sz w:val="20"/>
        </w:rPr>
        <w:t xml:space="preserve">v. the exercise or conversion of any security, if all securities received remain subject to the lock-up restriction in this Section 4(a) for the remainder of the time period.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foregoing restriction, any applicable securities laws and the conditions set forth in Section 4(d),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the Holder delivers an assignment form to the Company assigning this Warrant full. The Warrant, if properly assigned in accordance herewith, may be exercised by a new holder for the purchase of Warrant Shares without having a new Warrant issued.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New Warrants</w:t>
      </w:r>
      <w:r>
        <w:rPr>
          <w:rFonts w:ascii="Times New Roman" w:hAnsi="Times New Roman"/>
          <w:sz w:val="20"/>
        </w:rPr>
        <w:t xml:space="preserve">.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Warrant Register</w:t>
      </w:r>
      <w:r>
        <w:rPr>
          <w:rFonts w:ascii="Times New Roman" w:hAnsi="Times New Roman"/>
          <w:sz w:val="20"/>
        </w:rPr>
        <w:t>. The Company shall register this Warrant, upon records to be maintained by the Company for that purpose (the “</w:t>
      </w:r>
      <w:r>
        <w:rPr>
          <w:rFonts w:ascii="Times New Roman" w:hAnsi="Times New Roman"/>
          <w:sz w:val="20"/>
          <w:u w:val="single"/>
        </w:rPr>
        <w:t>Warrant Register</w:t>
      </w:r>
      <w:r>
        <w:rPr>
          <w:rFonts w:ascii="Times New Roman" w:hAnsi="Times New Roman"/>
          <w:sz w:val="20"/>
        </w:rPr>
        <w:t xml:space="preserve">”),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Representation by the Holder</w:t>
      </w:r>
      <w:r>
        <w:rPr>
          <w:rFonts w:ascii="Times New Roman" w:hAnsi="Times New Roman"/>
          <w:sz w:val="20"/>
        </w:rPr>
        <w:t xml:space="preserve">.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 </w:t>
      </w:r>
    </w:p>
    <w:p>
      <w:pPr>
        <w:pStyle w:val="TextBody"/>
        <w:bidi w:val="0"/>
        <w:spacing w:before="240" w:after="0"/>
        <w:jc w:val="left"/>
        <w:rPr>
          <w:rFonts w:ascii="Times New Roman" w:hAnsi="Times New Roman"/>
          <w:sz w:val="20"/>
        </w:rPr>
      </w:pPr>
      <w:r>
        <w:rPr>
          <w:rFonts w:ascii="Times New Roman" w:hAnsi="Times New Roman"/>
          <w:sz w:val="20"/>
          <w:u w:val="single"/>
        </w:rPr>
        <w:t>Section 5</w:t>
      </w:r>
      <w:r>
        <w:rPr>
          <w:rFonts w:ascii="Times New Roman" w:hAnsi="Times New Roman"/>
          <w:sz w:val="20"/>
        </w:rPr>
        <w:t xml:space="preserve">. </w:t>
      </w:r>
      <w:r>
        <w:rPr>
          <w:rFonts w:ascii="Times New Roman" w:hAnsi="Times New Roman"/>
          <w:sz w:val="20"/>
          <w:u w:val="single"/>
        </w:rPr>
        <w:t>Registration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u w:val="single"/>
        </w:rPr>
        <w:t>5.1</w:t>
      </w:r>
      <w:r>
        <w:rPr>
          <w:rFonts w:ascii="Times New Roman" w:hAnsi="Times New Roman"/>
          <w:sz w:val="20"/>
        </w:rPr>
        <w:t xml:space="preserve">. </w:t>
      </w:r>
      <w:r>
        <w:rPr>
          <w:rFonts w:ascii="Times New Roman" w:hAnsi="Times New Roman"/>
          <w:sz w:val="20"/>
          <w:u w:val="single"/>
        </w:rPr>
        <w:t>Reserved.</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5.2</w:t>
      </w:r>
      <w:r>
        <w:rPr>
          <w:rFonts w:ascii="Times New Roman" w:hAnsi="Times New Roman"/>
          <w:sz w:val="20"/>
        </w:rPr>
        <w:t xml:space="preserve"> </w:t>
      </w:r>
      <w:r>
        <w:rPr>
          <w:rFonts w:ascii="Times New Roman" w:hAnsi="Times New Roman"/>
          <w:sz w:val="20"/>
          <w:u w:val="single"/>
        </w:rPr>
        <w:t>“Piggy-Back” Registration.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5.2.1 </w:t>
      </w:r>
      <w:r>
        <w:rPr>
          <w:rFonts w:ascii="Times New Roman" w:hAnsi="Times New Roman"/>
          <w:sz w:val="20"/>
          <w:u w:val="single"/>
        </w:rPr>
        <w:t>Grant of Right</w:t>
      </w:r>
      <w:r>
        <w:rPr>
          <w:rFonts w:ascii="Times New Roman" w:hAnsi="Times New Roman"/>
          <w:sz w:val="20"/>
        </w:rPr>
        <w:t xml:space="preserve">. The Holder shall have the right, for the period commencing on the Initial Exercise Date and terminating on the seventh (7th) year anniversary thereof (“Piggy-Back Term”), in accordance with FINRA Rule 5110(g)(8)(D), to include the Warrant Shares as part of any other registration of securities filed by the Company (other than in connection with a transaction contemplated by Rule 145(a) promulgated under the Securities Act or pursuant to Form S-8 or any equivalent form); provided, however, that if, solely in connection with any primary underwritten public offering for the account of the Company, the managing underwriter(s) thereof shall, in its reasonable discretion, impose a limitation on the number of Warrant Shares which may be included in the registration statement because, in such underwriter(s)’ judgment, marketing or other factors dictate such limitation is necessary to facilitate public distribution, then the Company shall be obligated to include in such registration statement only such limited portion of the Warrant Shares with respect to which the Holder requested inclusion hereunder as the underwriter shall reasonably permit. Any exclusion of Warrant Shares shall be made pro rata among the Holders seeking to include Warrant Shares in proportion to the number of Warrant Shares sought to be included by such Holders; provided, however, that the Company shall not exclude any Warrant Shares unless the Company has first excluded all outstanding securities, the holders of which are not entitled to inclusion of such securities in such Warrant Shares or are not entitled to pro rata inclusion with the Warrant Shares. </w:t>
      </w:r>
    </w:p>
    <w:p>
      <w:pPr>
        <w:pStyle w:val="TextBody"/>
        <w:bidi w:val="0"/>
        <w:spacing w:before="120" w:after="0"/>
        <w:jc w:val="left"/>
        <w:rPr>
          <w:rFonts w:ascii="Times New Roman" w:hAnsi="Times New Roman"/>
          <w:sz w:val="20"/>
        </w:rPr>
      </w:pPr>
      <w:r>
        <w:rPr>
          <w:rFonts w:ascii="Times New Roman" w:hAnsi="Times New Roman"/>
          <w:sz w:val="20"/>
        </w:rPr>
        <w:t xml:space="preserve">5.2.2 </w:t>
      </w:r>
      <w:r>
        <w:rPr>
          <w:rFonts w:ascii="Times New Roman" w:hAnsi="Times New Roman"/>
          <w:sz w:val="20"/>
          <w:u w:val="single"/>
        </w:rPr>
        <w:t>Terms</w:t>
      </w:r>
      <w:r>
        <w:rPr>
          <w:rFonts w:ascii="Times New Roman" w:hAnsi="Times New Roman"/>
          <w:sz w:val="20"/>
        </w:rPr>
        <w:t xml:space="preserve">. The Company shall bear all fees and expenses attendant to registering the Warrant Shares pursuant to Section 5.2.1 hereof, but the Holders shall pay any and all underwriting commissions and the expenses of any legal counsel selected by the Holders to represent them in connection with the sale of the Warrant Shares. In the event of such a proposed registration, the Company shall furnish the then Holders of outstanding Warrant Shares with not less than twenty (20) days written notice prior to the proposed date of filing of such registration statement. Such notice to the Holders shall continue to be given for each registration statement filed by the Company during the Piggy-Back Term until such time as all of the Warrant Shares have been sold by the Holder. The holders of the Warrant Shares shall exercise the “piggy-back” rights provided for herein by giving written notice within seven (7) days of the receipt of the Company’s notice of its intention to file a registration statement. Except as otherwise provided in this Warrant, there shall be no limit on the number of times the Holder may request registration under this Section 5.2.2; provided, however, that such registration rights shall terminate on the second (2nd) year anniversary of the Initial Exercise Date. </w:t>
      </w:r>
    </w:p>
    <w:p>
      <w:pPr>
        <w:pStyle w:val="TextBody"/>
        <w:bidi w:val="0"/>
        <w:spacing w:before="240" w:after="0"/>
        <w:jc w:val="left"/>
        <w:rPr>
          <w:rFonts w:ascii="Times New Roman" w:hAnsi="Times New Roman"/>
          <w:sz w:val="20"/>
        </w:rPr>
      </w:pPr>
      <w:r>
        <w:rPr>
          <w:rFonts w:ascii="Times New Roman" w:hAnsi="Times New Roman"/>
          <w:sz w:val="20"/>
          <w:u w:val="single"/>
        </w:rPr>
        <w:t>5.3</w:t>
      </w:r>
      <w:r>
        <w:rPr>
          <w:rFonts w:ascii="Times New Roman" w:hAnsi="Times New Roman"/>
          <w:sz w:val="20"/>
        </w:rPr>
        <w:t xml:space="preserve"> </w:t>
      </w:r>
      <w:r>
        <w:rPr>
          <w:rFonts w:ascii="Times New Roman" w:hAnsi="Times New Roman"/>
          <w:sz w:val="20"/>
          <w:u w:val="single"/>
        </w:rPr>
        <w:t>General Terms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5.3.1 </w:t>
      </w:r>
      <w:r>
        <w:rPr>
          <w:rFonts w:ascii="Times New Roman" w:hAnsi="Times New Roman"/>
          <w:sz w:val="20"/>
          <w:u w:val="single"/>
        </w:rPr>
        <w:t>Indemnification</w:t>
      </w:r>
      <w:r>
        <w:rPr>
          <w:rFonts w:ascii="Times New Roman" w:hAnsi="Times New Roman"/>
          <w:sz w:val="20"/>
        </w:rPr>
        <w:t xml:space="preserve">. The Company shall indemnify the Holder(s) of the Warrant Shares to be sold pursuant to any registration statement hereunder and each person, if any, who controls such Holders within the meaning of Section 15 of the Securities Act or Section 20 (a) of the Exchange Act against all loss, claim, damage, expense or liability (including all reasonable attorneys’ fees and other expenses reasonably incurred in investigating, preparing or defending against any claim whatsoever) to which any of them may become subject under the Securities Act, the Exchange Act or otherwise, arising from such registration statement but only to the same extent and with the same effect as the provisions pursuant to which the Company has agreed to indemnify the underwriters contained in Section 5.1 of the Underwriting Agreement between the Underwriters and the Company, dated as of [___], 2026. The Holder(s) of the Warrant Shares to be sold pursuant to such registration statement, and their successors and assigns, shall severally, and not jointly, indemnify the Company, against all loss, claim, damage, expense or liability (including all reasonable attorneys’ fees and other expenses reasonably incurred in investigating, preparing or defending against any claim whatsoever) to which they may become subject under the Securities Act, the Exchange Act or otherwise, arising from information furnished by or on behalf of such Holders, or their successors or assigns, in writing, for specific inclusion in such registration statement to the same extent and with the same effect as the provisions contained in Section 5.2 of the Underwriting Agreement pursuant to which the Underwriters have agreed to indemnify the Company.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5.3.2 Exercise of Warrants. Nothing contained in this Warrant shall be construed as requiring the Holder(s) to exercise their Warrants prior to or after the initial filing of any registration statement or the effectiveness thereof. </w:t>
      </w:r>
    </w:p>
    <w:p>
      <w:pPr>
        <w:pStyle w:val="TextBody"/>
        <w:bidi w:val="0"/>
        <w:spacing w:before="120" w:after="0"/>
        <w:jc w:val="left"/>
        <w:rPr>
          <w:rFonts w:ascii="Times New Roman" w:hAnsi="Times New Roman"/>
          <w:sz w:val="20"/>
        </w:rPr>
      </w:pPr>
      <w:r>
        <w:rPr>
          <w:rFonts w:ascii="Times New Roman" w:hAnsi="Times New Roman"/>
          <w:sz w:val="20"/>
        </w:rPr>
        <w:t xml:space="preserve">5.3.3 Documents Delivered to Holders. The Company shall furnish to each Holder participating in any of the foregoing offerings and to each underwriter of any such offering, if any, a signed counterpart, addressed to such Holder or underwriter, of: (i) an opinion of counsel to the Company, dated the effective date of such registration statement (and, if such registration includes an underwritten public offering, an opinion dated the date of the closing under any underwriting agreement related thereto), and (ii) a “cold comfort” letter dated the effective date of such registration statement (and, if such registration includes an underwritten public offering, a letter dated the date of the closing under the underwriting agreement) signed by the independent registered public accounting firm which has issued a report on the Company’s financial statements included in such registration statement, in each case covering substantially the same matters with respect to such registration statement (and the prospectus included therein) and, in the case of such accountants’ letter, with respect to events subsequent to the date of such financial statements, as are customarily covered in opinions of issuer’s counsel and in accountants’ letters delivered to underwriters in underwritten public offerings of securities. The Company shall also deliver promptly to each Holder participating in the offering requesting the correspondence and memoranda described below and to the managing underwriter, if any, copies of all correspondence between the Commission and the Company, its counsel or auditors and all memoranda relating to discussions with the Commission or its staff with respect to the registration statement and permit each Holder and underwriter to do such investigation, upon reasonable advance notice, with respect to information contained in or omitted from the registration statement as it deems reasonably necessary to comply with applicable securities laws or rules of FINRA. Such investigation shall include access to books, records and properties and opportunities to discuss the business of the Company with its officers and independent auditors, all to such reasonable extent and at such reasonable times as any such Holder shall reasonably request. </w:t>
      </w:r>
    </w:p>
    <w:p>
      <w:pPr>
        <w:pStyle w:val="TextBody"/>
        <w:bidi w:val="0"/>
        <w:spacing w:before="120" w:after="0"/>
        <w:jc w:val="left"/>
        <w:rPr>
          <w:rFonts w:ascii="Times New Roman" w:hAnsi="Times New Roman"/>
          <w:sz w:val="20"/>
        </w:rPr>
      </w:pPr>
      <w:r>
        <w:rPr>
          <w:rFonts w:ascii="Times New Roman" w:hAnsi="Times New Roman"/>
          <w:sz w:val="20"/>
        </w:rPr>
        <w:t xml:space="preserve">5.3.4 Documents to be Delivered by Holder(s). Each of the Holder(s) participating in any of the foregoing offerings shall furnish to the Company a completed and executed questionnaire provided by the Company requesting information customarily sought of selling security holders. </w:t>
      </w:r>
    </w:p>
    <w:p>
      <w:pPr>
        <w:pStyle w:val="TextBody"/>
        <w:bidi w:val="0"/>
        <w:spacing w:before="240" w:after="0"/>
        <w:jc w:val="left"/>
        <w:rPr>
          <w:rFonts w:ascii="Times New Roman" w:hAnsi="Times New Roman"/>
          <w:sz w:val="20"/>
        </w:rPr>
      </w:pPr>
      <w:r>
        <w:rPr>
          <w:rFonts w:ascii="Times New Roman" w:hAnsi="Times New Roman"/>
          <w:sz w:val="20"/>
          <w:u w:val="single"/>
        </w:rPr>
        <w:t>Section 6</w:t>
      </w:r>
      <w:r>
        <w:rPr>
          <w:rFonts w:ascii="Times New Roman" w:hAnsi="Times New Roman"/>
          <w:sz w:val="20"/>
        </w:rPr>
        <w:t xml:space="preserve">.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Rights as Stockholder Until Exercise</w:t>
      </w:r>
      <w:r>
        <w:rPr>
          <w:rFonts w:ascii="Times New Roman" w:hAnsi="Times New Roman"/>
          <w:sz w:val="20"/>
        </w:rPr>
        <w:t xml:space="preserve">. This Warrant does not entitle the Holder to any voting rights, dividends or other rights as a stockholder of the Company prior to the exercise hereof as set forth in Section 2(d)(i).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Loss, Theft, Destruction or Mutilation of Warrant</w:t>
      </w:r>
      <w:r>
        <w:rPr>
          <w:rFonts w:ascii="Times New Roman" w:hAnsi="Times New Roman"/>
          <w:sz w:val="20"/>
        </w:rPr>
        <w:t xml:space="preserve">. The Company covenants that upon receipt by the Company of evidence reasonably satisfactory to it of the loss, theft, destruction or mutilation of this Warrant or any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Saturdays, Sundays, Holidays, etc</w:t>
      </w:r>
      <w:r>
        <w:rPr>
          <w:rFonts w:ascii="Times New Roman" w:hAnsi="Times New Roman"/>
          <w:sz w:val="20"/>
        </w:rPr>
        <w:t xml:space="preserve">. If the last or appointed day for the taking of any action or the expiration of any right required or granted herein shall not be a Trading Day, then, such action may be taken or such right may be exercised on the next succeeding Trading Day.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Authorized Shares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 </w:t>
      </w:r>
    </w:p>
    <w:p>
      <w:pPr>
        <w:pStyle w:val="TextBody"/>
        <w:bidi w:val="0"/>
        <w:spacing w:before="120" w:after="0"/>
        <w:jc w:val="left"/>
        <w:rPr>
          <w:rFonts w:ascii="Times New Roman" w:hAnsi="Times New Roman"/>
          <w:sz w:val="20"/>
        </w:rPr>
      </w:pPr>
      <w:r>
        <w:rPr>
          <w:rFonts w:ascii="Times New Roman" w:hAnsi="Times New Roman"/>
          <w:sz w:val="20"/>
        </w:rPr>
        <w:t xml:space="preserve">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 </w:t>
      </w:r>
    </w:p>
    <w:p>
      <w:pPr>
        <w:pStyle w:val="TextBody"/>
        <w:bidi w:val="0"/>
        <w:spacing w:before="120" w:after="0"/>
        <w:jc w:val="left"/>
        <w:rPr>
          <w:rFonts w:ascii="Times New Roman" w:hAnsi="Times New Roman"/>
          <w:sz w:val="20"/>
        </w:rPr>
      </w:pPr>
      <w:r>
        <w:rPr>
          <w:rFonts w:ascii="Times New Roman" w:hAnsi="Times New Roman"/>
          <w:sz w:val="20"/>
        </w:rPr>
        <w:t xml:space="preserve">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Jurisdiction</w:t>
      </w:r>
      <w:r>
        <w:rPr>
          <w:rFonts w:ascii="Times New Roman" w:hAnsi="Times New Roman"/>
          <w:sz w:val="20"/>
        </w:rPr>
        <w:t xml:space="preserve">. All questions concerning the construction, validity, enforcement and interpretation of this Warrant shall be determined in accordance with the provisions of the underwriting agreement, dated ___, 2026, by and between the Company and Konik Capital Partners, LLC, a division of T.R. Winston and Company, as representatives of the underwriters set forth therein (the “Underwriting Agreement”).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Restrictions</w:t>
      </w:r>
      <w:r>
        <w:rPr>
          <w:rFonts w:ascii="Times New Roman" w:hAnsi="Times New Roman"/>
          <w:sz w:val="20"/>
        </w:rPr>
        <w:t xml:space="preserve">. The Holder acknowledges that the Warrant Shares acquired upon the exercise of this Warrant, if not registered, and the Holder does not utilize cashless exercise, will have restrictions upon resale imposed by state and federal securities laws.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Nonwaiver and Expenses</w:t>
      </w:r>
      <w:r>
        <w:rPr>
          <w:rFonts w:ascii="Times New Roman" w:hAnsi="Times New Roman"/>
          <w:sz w:val="20"/>
        </w:rPr>
        <w:t xml:space="preserve">.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Notices</w:t>
      </w:r>
      <w:r>
        <w:rPr>
          <w:rFonts w:ascii="Times New Roman" w:hAnsi="Times New Roman"/>
          <w:sz w:val="20"/>
        </w:rPr>
        <w:t xml:space="preserve">. Any notice, request or other document required or permitted to be given or delivered to the Holder by the Company shall be delivered in accordance with the notice provisions of the Underwriting Agreement.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Limitation of Liability</w:t>
      </w:r>
      <w:r>
        <w:rPr>
          <w:rFonts w:ascii="Times New Roman" w:hAnsi="Times New Roman"/>
          <w:sz w:val="20"/>
        </w:rPr>
        <w:t xml:space="preserve">.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Remedies</w:t>
      </w:r>
      <w:r>
        <w:rPr>
          <w:rFonts w:ascii="Times New Roman" w:hAnsi="Times New Roman"/>
          <w:sz w:val="20"/>
        </w:rPr>
        <w:t xml:space="preserve">.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Successors and Assigns</w:t>
      </w:r>
      <w:r>
        <w:rPr>
          <w:rFonts w:ascii="Times New Roman" w:hAnsi="Times New Roman"/>
          <w:sz w:val="20"/>
        </w:rPr>
        <w:t xml:space="preserve">.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Amendment</w:t>
      </w:r>
      <w:r>
        <w:rPr>
          <w:rFonts w:ascii="Times New Roman" w:hAnsi="Times New Roman"/>
          <w:sz w:val="20"/>
        </w:rPr>
        <w:t xml:space="preserve">. This Warrant may be modified or amended or the provisions hereof waived with the written consent of the Company and the Holder.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Severability</w:t>
      </w:r>
      <w:r>
        <w:rPr>
          <w:rFonts w:ascii="Times New Roman" w:hAnsi="Times New Roman"/>
          <w:sz w:val="20"/>
        </w:rPr>
        <w:t xml:space="preserve">.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Headings</w:t>
      </w:r>
      <w:r>
        <w:rPr>
          <w:rFonts w:ascii="Times New Roman" w:hAnsi="Times New Roman"/>
          <w:sz w:val="20"/>
        </w:rPr>
        <w:t xml:space="preserve">. The headings used in this Warrant are for the convenience of reference only and shall not, for any purpose, be deemed a part of this Warrant. </w:t>
      </w:r>
    </w:p>
    <w:p>
      <w:pPr>
        <w:pStyle w:val="TextBody"/>
        <w:bidi w:val="0"/>
        <w:spacing w:before="240" w:after="0"/>
        <w:jc w:val="center"/>
        <w:rPr>
          <w:rFonts w:ascii="Times New Roman" w:hAnsi="Times New Roman"/>
          <w:sz w:val="20"/>
        </w:rPr>
      </w:pPr>
      <w:r>
        <w:rPr>
          <w:rFonts w:ascii="Times New Roman" w:hAnsi="Times New Roman"/>
          <w:sz w:val="20"/>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Warrant to be executed by its officer thereunto duly authorized as of the date first above indicated.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414"/>
        <w:gridCol w:w="158"/>
        <w:gridCol w:w="2510"/>
      </w:tblGrid>
      <w:tr>
        <w:trPr/>
        <w:tc>
          <w:tcPr>
            <w:tcW w:w="1414" w:type="dxa"/>
            <w:tcBorders/>
            <w:vAlign w:val="center"/>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251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REIN THERAPEUTICS, INC.</w:t>
            </w:r>
          </w:p>
        </w:tc>
      </w:tr>
      <w:tr>
        <w:trPr>
          <w:trHeight w:val="240" w:hRule="atLeast"/>
        </w:trPr>
        <w:tc>
          <w:tcPr>
            <w:tcW w:w="1414" w:type="dxa"/>
            <w:tcBorders/>
            <w:vAlign w:val="center"/>
          </w:tcPr>
          <w:p>
            <w:pPr>
              <w:pStyle w:val="TableContents"/>
              <w:bidi w:val="0"/>
              <w:spacing w:before="0" w:after="283"/>
              <w:jc w:val="left"/>
              <w:rPr>
                <w:sz w:val="4"/>
                <w:szCs w:val="4"/>
              </w:rPr>
            </w:pPr>
            <w:r>
              <w:rPr>
                <w:sz w:val="4"/>
                <w:szCs w:val="4"/>
              </w:rPr>
            </w:r>
          </w:p>
        </w:tc>
        <w:tc>
          <w:tcPr>
            <w:tcW w:w="2668" w:type="dxa"/>
            <w:gridSpan w:val="2"/>
            <w:tcBorders/>
            <w:vAlign w:val="center"/>
          </w:tcPr>
          <w:p>
            <w:pPr>
              <w:pStyle w:val="TableContents"/>
              <w:bidi w:val="0"/>
              <w:spacing w:before="0" w:after="283"/>
              <w:jc w:val="left"/>
              <w:rPr>
                <w:sz w:val="4"/>
                <w:szCs w:val="4"/>
              </w:rPr>
            </w:pPr>
            <w:r>
              <w:rPr>
                <w:sz w:val="4"/>
                <w:szCs w:val="4"/>
              </w:rPr>
            </w:r>
          </w:p>
        </w:tc>
      </w:tr>
      <w:tr>
        <w:trPr/>
        <w:tc>
          <w:tcPr>
            <w:tcW w:w="1414" w:type="dxa"/>
            <w:tcBorders/>
          </w:tcPr>
          <w:p>
            <w:pPr>
              <w:pStyle w:val="TableContents"/>
              <w:bidi w:val="0"/>
              <w:spacing w:before="0" w:after="283"/>
              <w:jc w:val="left"/>
              <w:rPr/>
            </w:pPr>
            <w:r>
              <w:rPr/>
              <w:t>By:</w:t>
            </w:r>
          </w:p>
        </w:tc>
        <w:tc>
          <w:tcPr>
            <w:tcW w:w="158" w:type="dxa"/>
            <w:tcBorders>
              <w:bottom w:val="single" w:sz="2" w:space="0" w:color="000000"/>
            </w:tcBorders>
            <w:tcMar>
              <w:bottom w:w="28" w:type="dxa"/>
            </w:tcMar>
            <w:vAlign w:val="bottom"/>
          </w:tcPr>
          <w:p>
            <w:pPr>
              <w:pStyle w:val="TableContents"/>
              <w:bidi w:val="0"/>
              <w:spacing w:before="0" w:after="283"/>
              <w:jc w:val="left"/>
              <w:rPr/>
            </w:pPr>
            <w:r>
              <w:rPr/>
              <w:t> </w:t>
            </w:r>
          </w:p>
        </w:tc>
        <w:tc>
          <w:tcPr>
            <w:tcW w:w="2510" w:type="dxa"/>
            <w:tcBorders>
              <w:bottom w:val="single" w:sz="2" w:space="0" w:color="000000"/>
            </w:tcBorders>
            <w:tcMar>
              <w:bottom w:w="28" w:type="dxa"/>
            </w:tcMar>
          </w:tcPr>
          <w:p>
            <w:pPr>
              <w:pStyle w:val="TableContents"/>
              <w:bidi w:val="0"/>
              <w:spacing w:before="0" w:after="283"/>
              <w:jc w:val="left"/>
              <w:rPr/>
            </w:pPr>
            <w:r>
              <w:rPr/>
              <w:t> </w:t>
            </w:r>
          </w:p>
        </w:tc>
      </w:tr>
      <w:tr>
        <w:trPr/>
        <w:tc>
          <w:tcPr>
            <w:tcW w:w="1414"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158" w:type="dxa"/>
            <w:tcBorders/>
            <w:vAlign w:val="bottom"/>
          </w:tcPr>
          <w:p>
            <w:pPr>
              <w:pStyle w:val="TableContents"/>
              <w:bidi w:val="0"/>
              <w:spacing w:before="0" w:after="283"/>
              <w:jc w:val="left"/>
              <w:rPr/>
            </w:pPr>
            <w:r>
              <w:rPr/>
              <w:t> </w:t>
            </w:r>
          </w:p>
        </w:tc>
        <w:tc>
          <w:tcPr>
            <w:tcW w:w="2510" w:type="dxa"/>
            <w:tcBorders/>
          </w:tcPr>
          <w:p>
            <w:pPr>
              <w:pStyle w:val="TableContents"/>
              <w:bidi w:val="0"/>
              <w:spacing w:before="0" w:after="283"/>
              <w:jc w:val="left"/>
              <w:rPr>
                <w:sz w:val="4"/>
                <w:szCs w:val="4"/>
              </w:rPr>
            </w:pPr>
            <w:r>
              <w:rPr>
                <w:sz w:val="4"/>
                <w:szCs w:val="4"/>
              </w:rPr>
            </w:r>
          </w:p>
        </w:tc>
      </w:tr>
      <w:tr>
        <w:trPr/>
        <w:tc>
          <w:tcPr>
            <w:tcW w:w="1414"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158" w:type="dxa"/>
            <w:tcBorders/>
            <w:vAlign w:val="bottom"/>
          </w:tcPr>
          <w:p>
            <w:pPr>
              <w:pStyle w:val="TableContents"/>
              <w:bidi w:val="0"/>
              <w:spacing w:before="0" w:after="283"/>
              <w:jc w:val="left"/>
              <w:rPr/>
            </w:pPr>
            <w:r>
              <w:rPr/>
              <w:t> </w:t>
            </w:r>
          </w:p>
        </w:tc>
        <w:tc>
          <w:tcPr>
            <w:tcW w:w="2510"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NOTICE OF EXERCISE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56"/>
        <w:gridCol w:w="123"/>
        <w:gridCol w:w="9426"/>
      </w:tblGrid>
      <w:tr>
        <w:trPr/>
        <w:tc>
          <w:tcPr>
            <w:tcW w:w="65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9426" w:type="dxa"/>
            <w:tcBorders/>
            <w:vAlign w:val="center"/>
          </w:tcPr>
          <w:p>
            <w:pPr>
              <w:pStyle w:val="TableContents"/>
              <w:bidi w:val="0"/>
              <w:spacing w:before="0" w:after="283"/>
              <w:jc w:val="left"/>
              <w:rPr>
                <w:sz w:val="4"/>
                <w:szCs w:val="4"/>
              </w:rPr>
            </w:pPr>
            <w:r>
              <w:rPr>
                <w:sz w:val="4"/>
                <w:szCs w:val="4"/>
              </w:rPr>
            </w:r>
          </w:p>
        </w:tc>
      </w:tr>
      <w:tr>
        <w:trPr/>
        <w:tc>
          <w:tcPr>
            <w:tcW w:w="656" w:type="dxa"/>
            <w:tcBorders/>
          </w:tcPr>
          <w:p>
            <w:pPr>
              <w:pStyle w:val="TableContents"/>
              <w:bidi w:val="0"/>
              <w:spacing w:before="0" w:after="283"/>
              <w:jc w:val="left"/>
              <w:rPr/>
            </w:pPr>
            <w:r>
              <w:rPr/>
              <w:t>TO:</w:t>
            </w:r>
          </w:p>
        </w:tc>
        <w:tc>
          <w:tcPr>
            <w:tcW w:w="123" w:type="dxa"/>
            <w:tcBorders/>
            <w:vAlign w:val="bottom"/>
          </w:tcPr>
          <w:p>
            <w:pPr>
              <w:pStyle w:val="TableContents"/>
              <w:bidi w:val="0"/>
              <w:spacing w:before="0" w:after="283"/>
              <w:jc w:val="left"/>
              <w:rPr/>
            </w:pPr>
            <w:r>
              <w:rPr/>
              <w:t>  </w:t>
            </w:r>
          </w:p>
        </w:tc>
        <w:tc>
          <w:tcPr>
            <w:tcW w:w="9426" w:type="dxa"/>
            <w:tcBorders/>
          </w:tcPr>
          <w:p>
            <w:pPr>
              <w:pStyle w:val="TableContents"/>
              <w:bidi w:val="0"/>
              <w:spacing w:before="0" w:after="283"/>
              <w:jc w:val="left"/>
              <w:rPr/>
            </w:pPr>
            <w:r>
              <w:rPr/>
              <w:t>REIN THERAPEUTICS, INC.</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81"/>
        <w:gridCol w:w="338"/>
        <w:gridCol w:w="2223"/>
        <w:gridCol w:w="137"/>
        <w:gridCol w:w="7026"/>
      </w:tblGrid>
      <w:tr>
        <w:trPr/>
        <w:tc>
          <w:tcPr>
            <w:tcW w:w="481" w:type="dxa"/>
            <w:tcBorders/>
            <w:vAlign w:val="center"/>
          </w:tcPr>
          <w:p>
            <w:pPr>
              <w:pStyle w:val="TableContents"/>
              <w:bidi w:val="0"/>
              <w:spacing w:before="0" w:after="283"/>
              <w:jc w:val="left"/>
              <w:rPr>
                <w:sz w:val="4"/>
                <w:szCs w:val="4"/>
              </w:rPr>
            </w:pPr>
            <w:r>
              <w:rPr>
                <w:sz w:val="4"/>
                <w:szCs w:val="4"/>
              </w:rPr>
            </w:r>
          </w:p>
        </w:tc>
        <w:tc>
          <w:tcPr>
            <w:tcW w:w="338" w:type="dxa"/>
            <w:tcBorders/>
            <w:vAlign w:val="bottom"/>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7026" w:type="dxa"/>
            <w:tcBorders/>
            <w:vAlign w:val="center"/>
          </w:tcPr>
          <w:p>
            <w:pPr>
              <w:pStyle w:val="TableContents"/>
              <w:bidi w:val="0"/>
              <w:spacing w:before="0" w:after="283"/>
              <w:jc w:val="left"/>
              <w:rPr>
                <w:sz w:val="4"/>
                <w:szCs w:val="4"/>
              </w:rPr>
            </w:pPr>
            <w:r>
              <w:rPr>
                <w:sz w:val="4"/>
                <w:szCs w:val="4"/>
              </w:rPr>
            </w:r>
          </w:p>
        </w:tc>
      </w:tr>
      <w:tr>
        <w:trPr/>
        <w:tc>
          <w:tcPr>
            <w:tcW w:w="481" w:type="dxa"/>
            <w:tcBorders/>
          </w:tcPr>
          <w:p>
            <w:pPr>
              <w:pStyle w:val="TableContents"/>
              <w:bidi w:val="0"/>
              <w:spacing w:before="0" w:after="283"/>
              <w:jc w:val="left"/>
              <w:rPr/>
            </w:pPr>
            <w:r>
              <w:rPr/>
              <w:t>  </w:t>
            </w:r>
          </w:p>
        </w:tc>
        <w:tc>
          <w:tcPr>
            <w:tcW w:w="338" w:type="dxa"/>
            <w:tcBorders>
              <w:bottom w:val="single" w:sz="2" w:space="0" w:color="000000"/>
            </w:tcBorders>
            <w:tcMar>
              <w:bottom w:w="28" w:type="dxa"/>
            </w:tcMar>
            <w:vAlign w:val="bottom"/>
          </w:tcPr>
          <w:p>
            <w:pPr>
              <w:pStyle w:val="TableContents"/>
              <w:bidi w:val="0"/>
              <w:spacing w:before="0" w:after="283"/>
              <w:jc w:val="left"/>
              <w:rPr/>
            </w:pPr>
            <w:r>
              <w:rPr/>
              <w:t>  </w:t>
            </w:r>
          </w:p>
        </w:tc>
        <w:tc>
          <w:tcPr>
            <w:tcW w:w="2223" w:type="dxa"/>
            <w:tcBorders>
              <w:bottom w:val="single" w:sz="2" w:space="0" w:color="000000"/>
            </w:tcBorders>
            <w:tcMar>
              <w:bottom w:w="28" w:type="dxa"/>
            </w:tcMa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7026"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(1) The undersigned hereby elects to purchase ________ Warrant Shares of the Company pursuant to the terms of the attached Warrant (only if exercised in full), and tenders herewith payment of the exercise price in full, together with all applicable transfer taxes, if any. </w:t>
      </w:r>
    </w:p>
    <w:p>
      <w:pPr>
        <w:pStyle w:val="TextBody"/>
        <w:bidi w:val="0"/>
        <w:spacing w:before="240" w:after="0"/>
        <w:jc w:val="left"/>
        <w:rPr>
          <w:rFonts w:ascii="Times New Roman" w:hAnsi="Times New Roman"/>
          <w:sz w:val="20"/>
        </w:rPr>
      </w:pPr>
      <w:r>
        <w:rPr>
          <w:rFonts w:ascii="Times New Roman" w:hAnsi="Times New Roman"/>
          <w:sz w:val="20"/>
        </w:rPr>
        <w:t xml:space="preserve">(2) Payment shall take the form of (check applicable box): </w:t>
      </w:r>
    </w:p>
    <w:p>
      <w:pPr>
        <w:pStyle w:val="TextBody"/>
        <w:bidi w:val="0"/>
        <w:spacing w:before="120" w:after="0"/>
        <w:jc w:val="left"/>
        <w:rPr>
          <w:rFonts w:ascii="Times New Roman" w:hAnsi="Times New Roman"/>
          <w:sz w:val="20"/>
        </w:rPr>
      </w:pPr>
      <w:r>
        <w:rPr>
          <w:rFonts w:ascii="Times New Roman" w:hAnsi="Times New Roman"/>
          <w:sz w:val="20"/>
        </w:rPr>
        <w:t xml:space="preserve">[  ] in lawful money of the United States; or </w:t>
      </w:r>
    </w:p>
    <w:p>
      <w:pPr>
        <w:pStyle w:val="TextBody"/>
        <w:bidi w:val="0"/>
        <w:spacing w:before="120" w:after="0"/>
        <w:jc w:val="left"/>
        <w:rPr>
          <w:rFonts w:ascii="Times New Roman" w:hAnsi="Times New Roman"/>
          <w:sz w:val="20"/>
        </w:rPr>
      </w:pPr>
      <w:r>
        <w:rPr>
          <w:rFonts w:ascii="Times New Roman" w:hAnsi="Times New Roman"/>
          <w:sz w:val="20"/>
        </w:rPr>
        <w:t xml:space="preserve">[  ]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 </w:t>
      </w:r>
    </w:p>
    <w:p>
      <w:pPr>
        <w:pStyle w:val="TextBody"/>
        <w:bidi w:val="0"/>
        <w:spacing w:before="240" w:after="0"/>
        <w:jc w:val="left"/>
        <w:rPr>
          <w:rFonts w:ascii="Times New Roman" w:hAnsi="Times New Roman"/>
          <w:sz w:val="20"/>
        </w:rPr>
      </w:pPr>
      <w:r>
        <w:rPr>
          <w:rFonts w:ascii="Times New Roman" w:hAnsi="Times New Roman"/>
          <w:sz w:val="20"/>
        </w:rPr>
        <w:t xml:space="preserve">(3) Please register and issue said Warrant Shares in the name of the undersigned or in such other name as is specified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83"/>
        <w:gridCol w:w="238"/>
        <w:gridCol w:w="2246"/>
        <w:gridCol w:w="137"/>
        <w:gridCol w:w="7101"/>
      </w:tblGrid>
      <w:tr>
        <w:trPr/>
        <w:tc>
          <w:tcPr>
            <w:tcW w:w="483"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7101" w:type="dxa"/>
            <w:tcBorders/>
            <w:vAlign w:val="center"/>
          </w:tcPr>
          <w:p>
            <w:pPr>
              <w:pStyle w:val="TableContents"/>
              <w:bidi w:val="0"/>
              <w:spacing w:before="0" w:after="283"/>
              <w:jc w:val="left"/>
              <w:rPr>
                <w:sz w:val="4"/>
                <w:szCs w:val="4"/>
              </w:rPr>
            </w:pPr>
            <w:r>
              <w:rPr>
                <w:sz w:val="4"/>
                <w:szCs w:val="4"/>
              </w:rPr>
            </w:r>
          </w:p>
        </w:tc>
      </w:tr>
      <w:tr>
        <w:trPr/>
        <w:tc>
          <w:tcPr>
            <w:tcW w:w="483" w:type="dxa"/>
            <w:tcBorders/>
          </w:tcPr>
          <w:p>
            <w:pPr>
              <w:pStyle w:val="TableContents"/>
              <w:bidi w:val="0"/>
              <w:spacing w:before="0" w:after="283"/>
              <w:jc w:val="left"/>
              <w:rPr/>
            </w:pPr>
            <w:r>
              <w:rPr/>
              <w:t>  </w:t>
            </w:r>
          </w:p>
        </w:tc>
        <w:tc>
          <w:tcPr>
            <w:tcW w:w="238" w:type="dxa"/>
            <w:tcBorders>
              <w:bottom w:val="single" w:sz="2" w:space="0" w:color="000000"/>
            </w:tcBorders>
            <w:tcMar>
              <w:bottom w:w="28" w:type="dxa"/>
            </w:tcMar>
            <w:vAlign w:val="bottom"/>
          </w:tcPr>
          <w:p>
            <w:pPr>
              <w:pStyle w:val="TableContents"/>
              <w:bidi w:val="0"/>
              <w:spacing w:before="0" w:after="283"/>
              <w:jc w:val="left"/>
              <w:rPr/>
            </w:pPr>
            <w:r>
              <w:rPr/>
              <w:t>  </w:t>
            </w:r>
          </w:p>
        </w:tc>
        <w:tc>
          <w:tcPr>
            <w:tcW w:w="2246" w:type="dxa"/>
            <w:tcBorders>
              <w:bottom w:val="single" w:sz="2" w:space="0" w:color="000000"/>
            </w:tcBorders>
            <w:tcMar>
              <w:bottom w:w="28" w:type="dxa"/>
            </w:tcMa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7101"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The Warrant Shares shall be delivered to the following DWAC Account Number or by physical delivery of a certificate to: </w:t>
      </w:r>
    </w:p>
    <w:tbl>
      <w:tblPr>
        <w:tblW w:w="5000" w:type="pct"/>
        <w:jc w:val="center"/>
        <w:tblInd w:w="0" w:type="dxa"/>
        <w:tblLayout w:type="fixed"/>
        <w:tblCellMar>
          <w:top w:w="0" w:type="dxa"/>
          <w:left w:w="0" w:type="dxa"/>
          <w:bottom w:w="0" w:type="dxa"/>
          <w:right w:w="0" w:type="dxa"/>
        </w:tblCellMar>
      </w:tblPr>
      <w:tblGrid>
        <w:gridCol w:w="481"/>
        <w:gridCol w:w="137"/>
        <w:gridCol w:w="2223"/>
        <w:gridCol w:w="137"/>
        <w:gridCol w:w="7227"/>
      </w:tblGrid>
      <w:tr>
        <w:trPr/>
        <w:tc>
          <w:tcPr>
            <w:tcW w:w="481"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7227" w:type="dxa"/>
            <w:tcBorders/>
            <w:vAlign w:val="center"/>
          </w:tcPr>
          <w:p>
            <w:pPr>
              <w:pStyle w:val="TableContents"/>
              <w:bidi w:val="0"/>
              <w:spacing w:before="0" w:after="283"/>
              <w:jc w:val="left"/>
              <w:rPr>
                <w:sz w:val="4"/>
                <w:szCs w:val="4"/>
              </w:rPr>
            </w:pPr>
            <w:r>
              <w:rPr>
                <w:sz w:val="4"/>
                <w:szCs w:val="4"/>
              </w:rPr>
            </w:r>
          </w:p>
        </w:tc>
      </w:tr>
      <w:tr>
        <w:trPr/>
        <w:tc>
          <w:tcPr>
            <w:tcW w:w="481" w:type="dxa"/>
            <w:tcBorders/>
          </w:tcPr>
          <w:p>
            <w:pPr>
              <w:pStyle w:val="TableContents"/>
              <w:bidi w:val="0"/>
              <w:spacing w:before="0" w:after="283"/>
              <w:jc w:val="left"/>
              <w:rPr/>
            </w:pPr>
            <w:r>
              <w:rPr/>
              <w:t>  </w:t>
            </w:r>
          </w:p>
        </w:tc>
        <w:tc>
          <w:tcPr>
            <w:tcW w:w="137" w:type="dxa"/>
            <w:tcBorders>
              <w:bottom w:val="single" w:sz="2" w:space="0" w:color="000000"/>
            </w:tcBorders>
            <w:tcMar>
              <w:bottom w:w="28" w:type="dxa"/>
            </w:tcMar>
            <w:vAlign w:val="bottom"/>
          </w:tcPr>
          <w:p>
            <w:pPr>
              <w:pStyle w:val="TableContents"/>
              <w:bidi w:val="0"/>
              <w:spacing w:before="0" w:after="283"/>
              <w:jc w:val="left"/>
              <w:rPr/>
            </w:pPr>
            <w:r>
              <w:rPr/>
              <w:t>  </w:t>
            </w:r>
          </w:p>
        </w:tc>
        <w:tc>
          <w:tcPr>
            <w:tcW w:w="2223" w:type="dxa"/>
            <w:tcBorders>
              <w:bottom w:val="single" w:sz="2" w:space="0" w:color="000000"/>
            </w:tcBorders>
            <w:tcMar>
              <w:bottom w:w="28" w:type="dxa"/>
            </w:tcMa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7227" w:type="dxa"/>
            <w:tcBorders/>
          </w:tcPr>
          <w:p>
            <w:pPr>
              <w:pStyle w:val="TableContents"/>
              <w:bidi w:val="0"/>
              <w:spacing w:before="0" w:after="283"/>
              <w:jc w:val="left"/>
              <w:rPr>
                <w:sz w:val="4"/>
                <w:szCs w:val="4"/>
              </w:rPr>
            </w:pPr>
            <w:r>
              <w:rPr>
                <w:sz w:val="4"/>
                <w:szCs w:val="4"/>
              </w:rPr>
            </w:r>
          </w:p>
        </w:tc>
      </w:tr>
      <w:tr>
        <w:trPr/>
        <w:tc>
          <w:tcPr>
            <w:tcW w:w="481" w:type="dxa"/>
            <w:tcBorders/>
          </w:tcPr>
          <w:p>
            <w:pPr>
              <w:pStyle w:val="TableContents"/>
              <w:bidi w:val="0"/>
              <w:spacing w:before="0" w:after="283"/>
              <w:jc w:val="left"/>
              <w:rPr>
                <w:sz w:val="4"/>
                <w:szCs w:val="4"/>
              </w:rPr>
            </w:pPr>
            <w:r>
              <w:rPr>
                <w:sz w:val="4"/>
                <w:szCs w:val="4"/>
              </w:rPr>
            </w:r>
          </w:p>
        </w:tc>
        <w:tc>
          <w:tcPr>
            <w:tcW w:w="137" w:type="dxa"/>
            <w:tcBorders>
              <w:bottom w:val="single" w:sz="2" w:space="0" w:color="000000"/>
            </w:tcBorders>
            <w:tcMar>
              <w:bottom w:w="28" w:type="dxa"/>
            </w:tcMar>
            <w:vAlign w:val="bottom"/>
          </w:tcPr>
          <w:p>
            <w:pPr>
              <w:pStyle w:val="TableContents"/>
              <w:bidi w:val="0"/>
              <w:spacing w:before="0" w:after="283"/>
              <w:jc w:val="left"/>
              <w:rPr/>
            </w:pPr>
            <w:r>
              <w:rPr/>
              <w:t>  </w:t>
            </w:r>
          </w:p>
        </w:tc>
        <w:tc>
          <w:tcPr>
            <w:tcW w:w="2223" w:type="dxa"/>
            <w:tcBorders>
              <w:bottom w:val="single" w:sz="2" w:space="0" w:color="000000"/>
            </w:tcBorders>
            <w:tcMar>
              <w:bottom w:w="28" w:type="dxa"/>
            </w:tcMa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7227" w:type="dxa"/>
            <w:tcBorders/>
          </w:tcPr>
          <w:p>
            <w:pPr>
              <w:pStyle w:val="TableContents"/>
              <w:bidi w:val="0"/>
              <w:spacing w:before="0" w:after="283"/>
              <w:jc w:val="left"/>
              <w:rPr>
                <w:sz w:val="4"/>
                <w:szCs w:val="4"/>
              </w:rPr>
            </w:pPr>
            <w:r>
              <w:rPr>
                <w:sz w:val="4"/>
                <w:szCs w:val="4"/>
              </w:rPr>
            </w:r>
          </w:p>
        </w:tc>
      </w:tr>
      <w:tr>
        <w:trPr/>
        <w:tc>
          <w:tcPr>
            <w:tcW w:w="481" w:type="dxa"/>
            <w:tcBorders/>
          </w:tcPr>
          <w:p>
            <w:pPr>
              <w:pStyle w:val="TableContents"/>
              <w:bidi w:val="0"/>
              <w:spacing w:before="0" w:after="283"/>
              <w:jc w:val="left"/>
              <w:rPr>
                <w:sz w:val="4"/>
                <w:szCs w:val="4"/>
              </w:rPr>
            </w:pPr>
            <w:r>
              <w:rPr>
                <w:sz w:val="4"/>
                <w:szCs w:val="4"/>
              </w:rPr>
            </w:r>
          </w:p>
        </w:tc>
        <w:tc>
          <w:tcPr>
            <w:tcW w:w="137" w:type="dxa"/>
            <w:tcBorders>
              <w:bottom w:val="single" w:sz="2" w:space="0" w:color="000000"/>
            </w:tcBorders>
            <w:tcMar>
              <w:bottom w:w="28" w:type="dxa"/>
            </w:tcMar>
            <w:vAlign w:val="bottom"/>
          </w:tcPr>
          <w:p>
            <w:pPr>
              <w:pStyle w:val="TableContents"/>
              <w:bidi w:val="0"/>
              <w:spacing w:before="0" w:after="283"/>
              <w:jc w:val="left"/>
              <w:rPr/>
            </w:pPr>
            <w:r>
              <w:rPr/>
              <w:t>  </w:t>
            </w:r>
          </w:p>
        </w:tc>
        <w:tc>
          <w:tcPr>
            <w:tcW w:w="2223" w:type="dxa"/>
            <w:tcBorders>
              <w:bottom w:val="single" w:sz="2" w:space="0" w:color="000000"/>
            </w:tcBorders>
            <w:tcMar>
              <w:bottom w:w="28" w:type="dxa"/>
            </w:tcMar>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7227"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Accredited Investor</w:t>
      </w:r>
      <w:r>
        <w:rPr>
          <w:rFonts w:ascii="Times New Roman" w:hAnsi="Times New Roman"/>
          <w:sz w:val="20"/>
        </w:rPr>
        <w:t xml:space="preserve">. If the Warrant is being exercised via cash exercise, the undersigned is an “accredited investor” as defined in Regulation D promulgated under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 xml:space="preserve">[SIGNATURE OF HOLDER]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478"/>
        <w:gridCol w:w="114"/>
        <w:gridCol w:w="7613"/>
      </w:tblGrid>
      <w:tr>
        <w:trPr/>
        <w:tc>
          <w:tcPr>
            <w:tcW w:w="2478"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7613" w:type="dxa"/>
            <w:tcBorders/>
            <w:vAlign w:val="center"/>
          </w:tcPr>
          <w:p>
            <w:pPr>
              <w:pStyle w:val="TableContents"/>
              <w:bidi w:val="0"/>
              <w:spacing w:before="0" w:after="283"/>
              <w:jc w:val="left"/>
              <w:rPr>
                <w:sz w:val="4"/>
                <w:szCs w:val="4"/>
              </w:rPr>
            </w:pPr>
            <w:r>
              <w:rPr>
                <w:sz w:val="4"/>
                <w:szCs w:val="4"/>
              </w:rPr>
            </w:r>
          </w:p>
        </w:tc>
      </w:tr>
      <w:tr>
        <w:trPr/>
        <w:tc>
          <w:tcPr>
            <w:tcW w:w="2478" w:type="dxa"/>
            <w:tcBorders/>
          </w:tcPr>
          <w:p>
            <w:pPr>
              <w:pStyle w:val="TableContents"/>
              <w:bidi w:val="0"/>
              <w:spacing w:before="0" w:after="283"/>
              <w:jc w:val="left"/>
              <w:rPr/>
            </w:pPr>
            <w:r>
              <w:rPr/>
              <w:t>Name of Investing Entity:</w:t>
            </w:r>
          </w:p>
        </w:tc>
        <w:tc>
          <w:tcPr>
            <w:tcW w:w="114" w:type="dxa"/>
            <w:tcBorders>
              <w:bottom w:val="single" w:sz="2" w:space="0" w:color="000000"/>
            </w:tcBorders>
            <w:tcMar>
              <w:bottom w:w="28" w:type="dxa"/>
            </w:tcMar>
            <w:vAlign w:val="bottom"/>
          </w:tcPr>
          <w:p>
            <w:pPr>
              <w:pStyle w:val="TableContents"/>
              <w:bidi w:val="0"/>
              <w:spacing w:before="0" w:after="283"/>
              <w:jc w:val="left"/>
              <w:rPr/>
            </w:pPr>
            <w:r>
              <w:rPr/>
              <w:t> </w:t>
            </w:r>
          </w:p>
        </w:tc>
        <w:tc>
          <w:tcPr>
            <w:tcW w:w="7613"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77"/>
        <w:gridCol w:w="105"/>
        <w:gridCol w:w="5023"/>
      </w:tblGrid>
      <w:tr>
        <w:trPr/>
        <w:tc>
          <w:tcPr>
            <w:tcW w:w="5077"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5023" w:type="dxa"/>
            <w:tcBorders/>
            <w:vAlign w:val="center"/>
          </w:tcPr>
          <w:p>
            <w:pPr>
              <w:pStyle w:val="TableContents"/>
              <w:bidi w:val="0"/>
              <w:spacing w:before="0" w:after="283"/>
              <w:jc w:val="left"/>
              <w:rPr>
                <w:sz w:val="4"/>
                <w:szCs w:val="4"/>
              </w:rPr>
            </w:pPr>
            <w:r>
              <w:rPr>
                <w:sz w:val="4"/>
                <w:szCs w:val="4"/>
              </w:rPr>
            </w:r>
          </w:p>
        </w:tc>
      </w:tr>
      <w:tr>
        <w:trPr/>
        <w:tc>
          <w:tcPr>
            <w:tcW w:w="5077" w:type="dxa"/>
            <w:tcBorders/>
          </w:tcPr>
          <w:p>
            <w:pPr>
              <w:pStyle w:val="TableContents"/>
              <w:bidi w:val="0"/>
              <w:spacing w:before="0" w:after="283"/>
              <w:jc w:val="left"/>
              <w:rPr/>
            </w:pPr>
            <w:r>
              <w:rPr>
                <w:i/>
              </w:rPr>
              <w:t>Signature of Authorized Signatory of Investing Entity</w:t>
            </w:r>
            <w:r>
              <w:rPr/>
              <w:t>:</w:t>
            </w:r>
          </w:p>
        </w:tc>
        <w:tc>
          <w:tcPr>
            <w:tcW w:w="105" w:type="dxa"/>
            <w:tcBorders>
              <w:bottom w:val="single" w:sz="2" w:space="0" w:color="000000"/>
            </w:tcBorders>
            <w:tcMar>
              <w:bottom w:w="28" w:type="dxa"/>
            </w:tcMar>
            <w:vAlign w:val="bottom"/>
          </w:tcPr>
          <w:p>
            <w:pPr>
              <w:pStyle w:val="TableContents"/>
              <w:bidi w:val="0"/>
              <w:spacing w:before="0" w:after="283"/>
              <w:jc w:val="left"/>
              <w:rPr/>
            </w:pPr>
            <w:r>
              <w:rPr/>
              <w:t> </w:t>
            </w:r>
          </w:p>
        </w:tc>
        <w:tc>
          <w:tcPr>
            <w:tcW w:w="5023"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09"/>
        <w:gridCol w:w="115"/>
        <w:gridCol w:w="7081"/>
      </w:tblGrid>
      <w:tr>
        <w:trPr/>
        <w:tc>
          <w:tcPr>
            <w:tcW w:w="3009" w:type="dxa"/>
            <w:tcBorders/>
            <w:vAlign w:val="center"/>
          </w:tcPr>
          <w:p>
            <w:pPr>
              <w:pStyle w:val="TableContents"/>
              <w:bidi w:val="0"/>
              <w:spacing w:before="0" w:after="283"/>
              <w:jc w:val="left"/>
              <w:rPr>
                <w:sz w:val="4"/>
                <w:szCs w:val="4"/>
              </w:rPr>
            </w:pPr>
            <w:r>
              <w:rPr>
                <w:sz w:val="4"/>
                <w:szCs w:val="4"/>
              </w:rPr>
            </w:r>
          </w:p>
        </w:tc>
        <w:tc>
          <w:tcPr>
            <w:tcW w:w="115" w:type="dxa"/>
            <w:tcBorders/>
            <w:vAlign w:val="bottom"/>
          </w:tcPr>
          <w:p>
            <w:pPr>
              <w:pStyle w:val="TableContents"/>
              <w:bidi w:val="0"/>
              <w:spacing w:before="0" w:after="283"/>
              <w:jc w:val="left"/>
              <w:rPr>
                <w:sz w:val="4"/>
                <w:szCs w:val="4"/>
              </w:rPr>
            </w:pPr>
            <w:r>
              <w:rPr>
                <w:sz w:val="4"/>
                <w:szCs w:val="4"/>
              </w:rPr>
            </w:r>
          </w:p>
        </w:tc>
        <w:tc>
          <w:tcPr>
            <w:tcW w:w="7081" w:type="dxa"/>
            <w:tcBorders/>
            <w:vAlign w:val="center"/>
          </w:tcPr>
          <w:p>
            <w:pPr>
              <w:pStyle w:val="TableContents"/>
              <w:bidi w:val="0"/>
              <w:spacing w:before="0" w:after="283"/>
              <w:jc w:val="left"/>
              <w:rPr>
                <w:sz w:val="4"/>
                <w:szCs w:val="4"/>
              </w:rPr>
            </w:pPr>
            <w:r>
              <w:rPr>
                <w:sz w:val="4"/>
                <w:szCs w:val="4"/>
              </w:rPr>
            </w:r>
          </w:p>
        </w:tc>
      </w:tr>
      <w:tr>
        <w:trPr/>
        <w:tc>
          <w:tcPr>
            <w:tcW w:w="3009" w:type="dxa"/>
            <w:tcBorders/>
          </w:tcPr>
          <w:p>
            <w:pPr>
              <w:pStyle w:val="TableContents"/>
              <w:bidi w:val="0"/>
              <w:spacing w:before="0" w:after="283"/>
              <w:jc w:val="left"/>
              <w:rPr/>
            </w:pPr>
            <w:r>
              <w:rPr/>
              <w:t>Name of Authorized Signatory:</w:t>
            </w:r>
          </w:p>
        </w:tc>
        <w:tc>
          <w:tcPr>
            <w:tcW w:w="115" w:type="dxa"/>
            <w:tcBorders>
              <w:bottom w:val="single" w:sz="2" w:space="0" w:color="000000"/>
            </w:tcBorders>
            <w:tcMar>
              <w:bottom w:w="28" w:type="dxa"/>
            </w:tcMar>
            <w:vAlign w:val="bottom"/>
          </w:tcPr>
          <w:p>
            <w:pPr>
              <w:pStyle w:val="TableContents"/>
              <w:bidi w:val="0"/>
              <w:spacing w:before="0" w:after="283"/>
              <w:jc w:val="left"/>
              <w:rPr/>
            </w:pPr>
            <w:r>
              <w:rPr/>
              <w:t> </w:t>
            </w:r>
          </w:p>
        </w:tc>
        <w:tc>
          <w:tcPr>
            <w:tcW w:w="7081"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878"/>
        <w:gridCol w:w="114"/>
        <w:gridCol w:w="7213"/>
      </w:tblGrid>
      <w:tr>
        <w:trPr/>
        <w:tc>
          <w:tcPr>
            <w:tcW w:w="2878"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7213" w:type="dxa"/>
            <w:tcBorders/>
            <w:vAlign w:val="center"/>
          </w:tcPr>
          <w:p>
            <w:pPr>
              <w:pStyle w:val="TableContents"/>
              <w:bidi w:val="0"/>
              <w:spacing w:before="0" w:after="283"/>
              <w:jc w:val="left"/>
              <w:rPr>
                <w:sz w:val="4"/>
                <w:szCs w:val="4"/>
              </w:rPr>
            </w:pPr>
            <w:r>
              <w:rPr>
                <w:sz w:val="4"/>
                <w:szCs w:val="4"/>
              </w:rPr>
            </w:r>
          </w:p>
        </w:tc>
      </w:tr>
      <w:tr>
        <w:trPr/>
        <w:tc>
          <w:tcPr>
            <w:tcW w:w="2878" w:type="dxa"/>
            <w:tcBorders/>
          </w:tcPr>
          <w:p>
            <w:pPr>
              <w:pStyle w:val="TableContents"/>
              <w:bidi w:val="0"/>
              <w:spacing w:before="0" w:after="283"/>
              <w:jc w:val="left"/>
              <w:rPr/>
            </w:pPr>
            <w:r>
              <w:rPr/>
              <w:t>Title of Authorized Signatory:</w:t>
            </w:r>
          </w:p>
        </w:tc>
        <w:tc>
          <w:tcPr>
            <w:tcW w:w="114" w:type="dxa"/>
            <w:tcBorders>
              <w:bottom w:val="single" w:sz="2" w:space="0" w:color="000000"/>
            </w:tcBorders>
            <w:tcMar>
              <w:bottom w:w="28" w:type="dxa"/>
            </w:tcMar>
            <w:vAlign w:val="bottom"/>
          </w:tcPr>
          <w:p>
            <w:pPr>
              <w:pStyle w:val="TableContents"/>
              <w:bidi w:val="0"/>
              <w:spacing w:before="0" w:after="283"/>
              <w:jc w:val="left"/>
              <w:rPr/>
            </w:pPr>
            <w:r>
              <w:rPr/>
              <w:t> </w:t>
            </w:r>
          </w:p>
        </w:tc>
        <w:tc>
          <w:tcPr>
            <w:tcW w:w="7213"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70"/>
        <w:gridCol w:w="109"/>
        <w:gridCol w:w="9626"/>
      </w:tblGrid>
      <w:tr>
        <w:trPr/>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9626" w:type="dxa"/>
            <w:tcBorders/>
            <w:vAlign w:val="center"/>
          </w:tcPr>
          <w:p>
            <w:pPr>
              <w:pStyle w:val="TableContents"/>
              <w:bidi w:val="0"/>
              <w:spacing w:before="0" w:after="283"/>
              <w:jc w:val="left"/>
              <w:rPr>
                <w:sz w:val="4"/>
                <w:szCs w:val="4"/>
              </w:rPr>
            </w:pPr>
            <w:r>
              <w:rPr>
                <w:sz w:val="4"/>
                <w:szCs w:val="4"/>
              </w:rPr>
            </w:r>
          </w:p>
        </w:tc>
      </w:tr>
      <w:tr>
        <w:trPr/>
        <w:tc>
          <w:tcPr>
            <w:tcW w:w="470" w:type="dxa"/>
            <w:tcBorders/>
          </w:tcPr>
          <w:p>
            <w:pPr>
              <w:pStyle w:val="TableContents"/>
              <w:bidi w:val="0"/>
              <w:spacing w:before="0" w:after="283"/>
              <w:jc w:val="left"/>
              <w:rPr/>
            </w:pPr>
            <w:r>
              <w:rPr/>
              <w:t>Date:</w:t>
            </w:r>
          </w:p>
        </w:tc>
        <w:tc>
          <w:tcPr>
            <w:tcW w:w="109" w:type="dxa"/>
            <w:tcBorders>
              <w:bottom w:val="single" w:sz="2" w:space="0" w:color="000000"/>
            </w:tcBorders>
            <w:tcMar>
              <w:bottom w:w="28" w:type="dxa"/>
            </w:tcMar>
            <w:vAlign w:val="bottom"/>
          </w:tcPr>
          <w:p>
            <w:pPr>
              <w:pStyle w:val="TableContents"/>
              <w:bidi w:val="0"/>
              <w:spacing w:before="0" w:after="283"/>
              <w:jc w:val="left"/>
              <w:rPr/>
            </w:pPr>
            <w:r>
              <w:rPr/>
              <w:t> </w:t>
            </w:r>
          </w:p>
        </w:tc>
        <w:tc>
          <w:tcPr>
            <w:tcW w:w="9626" w:type="dxa"/>
            <w:tcBorders>
              <w:bottom w:val="single" w:sz="2" w:space="0" w:color="000000"/>
            </w:tcBorders>
            <w:tcMar>
              <w:bottom w:w="28" w:type="dxa"/>
            </w:tcMa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ASSIGNMENT FORM </w:t>
      </w:r>
    </w:p>
    <w:p>
      <w:pPr>
        <w:pStyle w:val="TextBody"/>
        <w:bidi w:val="0"/>
        <w:spacing w:before="240" w:after="0"/>
        <w:jc w:val="center"/>
        <w:rPr>
          <w:rFonts w:ascii="Times New Roman" w:hAnsi="Times New Roman"/>
          <w:sz w:val="20"/>
        </w:rPr>
      </w:pPr>
      <w:r>
        <w:rPr>
          <w:rFonts w:ascii="Times New Roman" w:hAnsi="Times New Roman"/>
          <w:sz w:val="20"/>
        </w:rPr>
        <w:t xml:space="preserve">(To assign the foregoing warrant, execute </w:t>
      </w:r>
    </w:p>
    <w:p>
      <w:pPr>
        <w:pStyle w:val="TextBody"/>
        <w:bidi w:val="0"/>
        <w:spacing w:before="0" w:after="0"/>
        <w:jc w:val="center"/>
        <w:rPr>
          <w:rFonts w:ascii="Times New Roman" w:hAnsi="Times New Roman"/>
          <w:sz w:val="20"/>
        </w:rPr>
      </w:pPr>
      <w:r>
        <w:rPr>
          <w:rFonts w:ascii="Times New Roman" w:hAnsi="Times New Roman"/>
          <w:sz w:val="20"/>
        </w:rPr>
        <w:t xml:space="preserve">this form and supply required information. </w:t>
      </w:r>
    </w:p>
    <w:p>
      <w:pPr>
        <w:pStyle w:val="TextBody"/>
        <w:bidi w:val="0"/>
        <w:spacing w:before="0" w:after="0"/>
        <w:jc w:val="center"/>
        <w:rPr>
          <w:rFonts w:ascii="Times New Roman" w:hAnsi="Times New Roman"/>
          <w:sz w:val="20"/>
        </w:rPr>
      </w:pPr>
      <w:r>
        <w:rPr>
          <w:rFonts w:ascii="Times New Roman" w:hAnsi="Times New Roman"/>
          <w:sz w:val="20"/>
        </w:rPr>
        <w:t xml:space="preserve">Do not use this form to exercise the warrant.) </w:t>
      </w:r>
    </w:p>
    <w:p>
      <w:pPr>
        <w:pStyle w:val="TextBody"/>
        <w:bidi w:val="0"/>
        <w:spacing w:before="240" w:after="0"/>
        <w:jc w:val="left"/>
        <w:rPr>
          <w:rFonts w:ascii="Times New Roman" w:hAnsi="Times New Roman"/>
          <w:sz w:val="20"/>
        </w:rPr>
      </w:pPr>
      <w:r>
        <w:rPr>
          <w:rFonts w:ascii="Times New Roman" w:hAnsi="Times New Roman"/>
          <w:sz w:val="20"/>
        </w:rPr>
        <w:t xml:space="preserve">FOR VALUE RECEIVED, [____] all of or [_______] shares of the foregoing Warrant and all rights evidenced thereby are hereby assigned to </w:t>
      </w:r>
    </w:p>
    <w:p>
      <w:pPr>
        <w:pStyle w:val="TextBody"/>
        <w:bidi w:val="0"/>
        <w:spacing w:before="120" w:after="0"/>
        <w:jc w:val="left"/>
        <w:rPr>
          <w:rFonts w:ascii="Times New Roman" w:hAnsi="Times New Roman"/>
          <w:sz w:val="20"/>
        </w:rPr>
      </w:pPr>
      <w:r>
        <w:rPr>
          <w:rFonts w:ascii="Times New Roman" w:hAnsi="Times New Roman"/>
          <w:sz w:val="20"/>
        </w:rPr>
        <w:t xml:space="preserve">_______________________________________________ whose address is </w:t>
      </w:r>
    </w:p>
    <w:p>
      <w:pPr>
        <w:pStyle w:val="TextBody"/>
        <w:bidi w:val="0"/>
        <w:spacing w:before="120" w:after="0"/>
        <w:jc w:val="left"/>
        <w:rPr>
          <w:rFonts w:ascii="Times New Roman" w:hAnsi="Times New Roman"/>
          <w:sz w:val="20"/>
        </w:rPr>
      </w:pPr>
      <w:r>
        <w:rPr>
          <w:rFonts w:ascii="Times New Roman" w:hAnsi="Times New Roman"/>
          <w:sz w:val="20"/>
        </w:rPr>
        <w:t xml:space="preserve">_______________________________________________________________. </w:t>
      </w:r>
    </w:p>
    <w:p>
      <w:pPr>
        <w:pStyle w:val="TextBody"/>
        <w:bidi w:val="0"/>
        <w:spacing w:before="120" w:after="0"/>
        <w:jc w:val="left"/>
        <w:rPr>
          <w:rFonts w:ascii="Times New Roman" w:hAnsi="Times New Roman"/>
          <w:sz w:val="20"/>
        </w:rPr>
      </w:pPr>
      <w:r>
        <w:rPr>
          <w:rFonts w:ascii="Times New Roman" w:hAnsi="Times New Roman"/>
          <w:sz w:val="20"/>
        </w:rPr>
        <w:t xml:space="preserve">_______________________________________________________________ </w:t>
      </w:r>
    </w:p>
    <w:p>
      <w:pPr>
        <w:pStyle w:val="TextBody"/>
        <w:bidi w:val="0"/>
        <w:spacing w:before="240" w:after="0"/>
        <w:jc w:val="left"/>
        <w:rPr>
          <w:rFonts w:ascii="Times New Roman" w:hAnsi="Times New Roman"/>
          <w:sz w:val="20"/>
        </w:rPr>
      </w:pPr>
      <w:r>
        <w:rPr>
          <w:rFonts w:ascii="Times New Roman" w:hAnsi="Times New Roman"/>
          <w:sz w:val="20"/>
        </w:rPr>
        <w:t xml:space="preserve">Dated: ______________, _______ </w:t>
      </w:r>
    </w:p>
    <w:p>
      <w:pPr>
        <w:pStyle w:val="TextBody"/>
        <w:bidi w:val="0"/>
        <w:spacing w:before="240" w:after="0"/>
        <w:jc w:val="left"/>
        <w:rPr>
          <w:rFonts w:ascii="Times New Roman" w:hAnsi="Times New Roman"/>
          <w:sz w:val="20"/>
        </w:rPr>
      </w:pPr>
      <w:r>
        <w:rPr>
          <w:rFonts w:ascii="Times New Roman" w:hAnsi="Times New Roman"/>
          <w:sz w:val="20"/>
        </w:rPr>
        <w:t xml:space="preserve">Holder’s Signature: _____________________________ </w:t>
      </w:r>
    </w:p>
    <w:p>
      <w:pPr>
        <w:pStyle w:val="TextBody"/>
        <w:bidi w:val="0"/>
        <w:spacing w:before="240" w:after="0"/>
        <w:jc w:val="left"/>
        <w:rPr>
          <w:rFonts w:ascii="Times New Roman" w:hAnsi="Times New Roman"/>
          <w:sz w:val="20"/>
        </w:rPr>
      </w:pPr>
      <w:r>
        <w:rPr>
          <w:rFonts w:ascii="Times New Roman" w:hAnsi="Times New Roman"/>
          <w:sz w:val="20"/>
        </w:rPr>
        <w:t xml:space="preserve">Holder’s Address: _____________________________ </w:t>
      </w:r>
    </w:p>
    <w:p>
      <w:pPr>
        <w:pStyle w:val="TextBody"/>
        <w:bidi w:val="0"/>
        <w:spacing w:before="240" w:after="0"/>
        <w:jc w:val="left"/>
        <w:rPr>
          <w:rFonts w:ascii="Times New Roman" w:hAnsi="Times New Roman"/>
          <w:sz w:val="20"/>
        </w:rPr>
      </w:pPr>
      <w:r>
        <w:rPr>
          <w:rFonts w:ascii="Times New Roman" w:hAnsi="Times New Roman"/>
          <w:sz w:val="20"/>
        </w:rPr>
        <w:t xml:space="preserve">NOTE: The signature to this Assignment Form must correspond with the name as it appears on the face of the Warrant, without alteration or enlargement or any change whatsoever. Officers of corporations and those acting in a fiduciary or other representative capacity should file proper evidence of authority to assign the foregoing Warrant.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B </w:t>
      </w:r>
    </w:p>
    <w:p>
      <w:pPr>
        <w:pStyle w:val="TextBody"/>
        <w:bidi w:val="0"/>
        <w:spacing w:before="120" w:after="0"/>
        <w:jc w:val="center"/>
        <w:rPr>
          <w:rFonts w:ascii="Times New Roman" w:hAnsi="Times New Roman"/>
          <w:b/>
          <w:sz w:val="20"/>
        </w:rPr>
      </w:pPr>
      <w:r>
        <w:rPr>
          <w:rFonts w:ascii="Times New Roman" w:hAnsi="Times New Roman"/>
          <w:b/>
          <w:sz w:val="20"/>
        </w:rPr>
        <w:t xml:space="preserve">Lock-Up Agreement </w:t>
      </w:r>
    </w:p>
    <w:p>
      <w:pPr>
        <w:pStyle w:val="TextBody"/>
        <w:bidi w:val="0"/>
        <w:spacing w:before="240" w:after="0"/>
        <w:jc w:val="right"/>
        <w:rPr>
          <w:rFonts w:ascii="Times New Roman" w:hAnsi="Times New Roman"/>
          <w:sz w:val="20"/>
        </w:rPr>
      </w:pPr>
      <w:r>
        <w:rPr>
          <w:rFonts w:ascii="Times New Roman" w:hAnsi="Times New Roman"/>
          <w:sz w:val="20"/>
        </w:rPr>
        <w:t xml:space="preserve">[], 2026 </w:t>
      </w:r>
    </w:p>
    <w:p>
      <w:pPr>
        <w:pStyle w:val="TextBody"/>
        <w:bidi w:val="0"/>
        <w:spacing w:before="240" w:after="0"/>
        <w:jc w:val="left"/>
        <w:rPr>
          <w:rFonts w:ascii="Times New Roman" w:hAnsi="Times New Roman"/>
          <w:sz w:val="20"/>
        </w:rPr>
      </w:pPr>
      <w:r>
        <w:rPr>
          <w:rFonts w:ascii="Times New Roman" w:hAnsi="Times New Roman"/>
          <w:sz w:val="20"/>
        </w:rPr>
        <w:t xml:space="preserve">Konik Capital Partners, LLC, </w:t>
      </w:r>
    </w:p>
    <w:p>
      <w:pPr>
        <w:pStyle w:val="TextBody"/>
        <w:bidi w:val="0"/>
        <w:spacing w:before="0" w:after="0"/>
        <w:jc w:val="left"/>
        <w:rPr>
          <w:rFonts w:ascii="Times New Roman" w:hAnsi="Times New Roman"/>
          <w:sz w:val="20"/>
        </w:rPr>
      </w:pPr>
      <w:r>
        <w:rPr>
          <w:rFonts w:ascii="Times New Roman" w:hAnsi="Times New Roman"/>
          <w:sz w:val="20"/>
        </w:rPr>
        <w:t xml:space="preserve">A Division of T.R. Winston and Company </w:t>
      </w:r>
    </w:p>
    <w:p>
      <w:pPr>
        <w:pStyle w:val="TextBody"/>
        <w:bidi w:val="0"/>
        <w:spacing w:before="0" w:after="0"/>
        <w:jc w:val="left"/>
        <w:rPr>
          <w:rFonts w:ascii="Times New Roman" w:hAnsi="Times New Roman"/>
          <w:sz w:val="20"/>
        </w:rPr>
      </w:pPr>
      <w:r>
        <w:rPr>
          <w:rFonts w:ascii="Times New Roman" w:hAnsi="Times New Roman"/>
          <w:sz w:val="20"/>
        </w:rPr>
        <w:t xml:space="preserve">7 World Trade Center, 46th Floor </w:t>
      </w:r>
    </w:p>
    <w:p>
      <w:pPr>
        <w:pStyle w:val="TextBody"/>
        <w:bidi w:val="0"/>
        <w:spacing w:before="0" w:after="0"/>
        <w:jc w:val="left"/>
        <w:rPr>
          <w:rFonts w:ascii="Times New Roman" w:hAnsi="Times New Roman"/>
          <w:sz w:val="20"/>
        </w:rPr>
      </w:pPr>
      <w:r>
        <w:rPr>
          <w:rFonts w:ascii="Times New Roman" w:hAnsi="Times New Roman"/>
          <w:sz w:val="20"/>
        </w:rPr>
        <w:t xml:space="preserve">New York, NY 10007 </w:t>
      </w:r>
    </w:p>
    <w:p>
      <w:pPr>
        <w:pStyle w:val="TextBody"/>
        <w:bidi w:val="0"/>
        <w:spacing w:before="240" w:after="0"/>
        <w:jc w:val="left"/>
        <w:rPr>
          <w:rFonts w:ascii="Times New Roman" w:hAnsi="Times New Roman"/>
          <w:sz w:val="20"/>
        </w:rPr>
      </w:pPr>
      <w:r>
        <w:rPr>
          <w:rFonts w:ascii="Times New Roman" w:hAnsi="Times New Roman"/>
          <w:sz w:val="20"/>
        </w:rPr>
        <w:t xml:space="preserve">As Representative of the several Underwriters named on Schedule 1 to the Underwriting Agreement referenced below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The undersigned understands that Konik Capital Partners, LLC, A division of T.R. Winston and Company, (the “</w:t>
      </w:r>
      <w:r>
        <w:rPr>
          <w:rFonts w:ascii="Times New Roman" w:hAnsi="Times New Roman"/>
          <w:b/>
          <w:sz w:val="20"/>
        </w:rPr>
        <w:t>Representative</w:t>
      </w:r>
      <w:r>
        <w:rPr>
          <w:rFonts w:ascii="Times New Roman" w:hAnsi="Times New Roman"/>
          <w:sz w:val="20"/>
        </w:rPr>
        <w:t>”), proposes to enter into an Underwriting Agreement (the “</w:t>
      </w:r>
      <w:r>
        <w:rPr>
          <w:rFonts w:ascii="Times New Roman" w:hAnsi="Times New Roman"/>
          <w:b/>
          <w:sz w:val="20"/>
        </w:rPr>
        <w:t>Underwriting Agreement</w:t>
      </w:r>
      <w:r>
        <w:rPr>
          <w:rFonts w:ascii="Times New Roman" w:hAnsi="Times New Roman"/>
          <w:sz w:val="20"/>
        </w:rPr>
        <w:t>”) with Rein Therapeutics, Inc., a Delaware corporation (the “</w:t>
      </w:r>
      <w:r>
        <w:rPr>
          <w:rFonts w:ascii="Times New Roman" w:hAnsi="Times New Roman"/>
          <w:b/>
          <w:sz w:val="20"/>
        </w:rPr>
        <w:t>Company</w:t>
      </w:r>
      <w:r>
        <w:rPr>
          <w:rFonts w:ascii="Times New Roman" w:hAnsi="Times New Roman"/>
          <w:sz w:val="20"/>
        </w:rPr>
        <w:t>”), providing for the initial public offering (the “</w:t>
      </w:r>
      <w:r>
        <w:rPr>
          <w:rFonts w:ascii="Times New Roman" w:hAnsi="Times New Roman"/>
          <w:b/>
          <w:sz w:val="20"/>
        </w:rPr>
        <w:t>Public Offering</w:t>
      </w:r>
      <w:r>
        <w:rPr>
          <w:rFonts w:ascii="Times New Roman" w:hAnsi="Times New Roman"/>
          <w:sz w:val="20"/>
        </w:rPr>
        <w:t>”) of shares of common stock, par value $0.001 per share, of the Company (the “</w:t>
      </w:r>
      <w:r>
        <w:rPr>
          <w:rFonts w:ascii="Times New Roman" w:hAnsi="Times New Roman"/>
          <w:b/>
          <w:sz w:val="20"/>
        </w:rPr>
        <w:t>Common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To induce the Representative to continue its efforts in connection with the Public Offering, the undersigned hereby agrees that, without the prior written consent of the Representative, the undersigned will not, during the period commencing on the date hereof and ending 100 days after the date of the Underwriting Agreement relating to the Public Offering (the “</w:t>
      </w:r>
      <w:r>
        <w:rPr>
          <w:rFonts w:ascii="Times New Roman" w:hAnsi="Times New Roman"/>
          <w:b/>
          <w:sz w:val="20"/>
        </w:rPr>
        <w:t>Lock-Up Period</w:t>
      </w:r>
      <w:r>
        <w:rPr>
          <w:rFonts w:ascii="Times New Roman" w:hAnsi="Times New Roman"/>
          <w:sz w:val="20"/>
        </w:rPr>
        <w:t>”), (1) offer, pledge, sell, contract to sell, grant, lend, or otherwise transfer or dispose of, directly or indirectly, any Common Shares or any securities convertible into or exercisable or exchangeable for Common Shares, whether now owned or hereafter acquired by the undersigned or with respect to which the undersigned has or hereafter acquires the power of disposition (collectively, the “</w:t>
      </w:r>
      <w:r>
        <w:rPr>
          <w:rFonts w:ascii="Times New Roman" w:hAnsi="Times New Roman"/>
          <w:b/>
          <w:sz w:val="20"/>
        </w:rPr>
        <w:t>Lock-Up Securities</w:t>
      </w:r>
      <w:r>
        <w:rPr>
          <w:rFonts w:ascii="Times New Roman" w:hAnsi="Times New Roman"/>
          <w:sz w:val="20"/>
        </w:rPr>
        <w:t xml:space="preserve">”); (2) enter into any swap or other arrangement that transfers to another,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 (4) publicly disclose the intention to make any offer, sale, pledge or disposition, or to enter into any transaction, swap, hedge or other arrangement relating to any Lock-Up Securities. Notwithstanding the foregoing, and subject to the conditions below, the undersigned may transfer Lock-Up Securities without the prior written consent of the Representative in connection with (a) transactions relating to Lock-Up Securities acquired in open market transactions after the completion of the Public Offering; </w:t>
      </w:r>
      <w:r>
        <w:rPr>
          <w:rFonts w:ascii="Times New Roman" w:hAnsi="Times New Roman"/>
          <w:sz w:val="20"/>
          <w:u w:val="single"/>
        </w:rPr>
        <w:t>provided</w:t>
      </w:r>
      <w:r>
        <w:rPr>
          <w:rFonts w:ascii="Times New Roman" w:hAnsi="Times New Roman"/>
          <w:sz w:val="20"/>
        </w:rPr>
        <w:t xml:space="preserve"> that no filing under Section 13 or Section 16(a) of the Securities Exchange Act of 1934, as amended (the “</w:t>
      </w:r>
      <w:r>
        <w:rPr>
          <w:rFonts w:ascii="Times New Roman" w:hAnsi="Times New Roman"/>
          <w:b/>
          <w:sz w:val="20"/>
        </w:rPr>
        <w:t>Exchange Act</w:t>
      </w:r>
      <w:r>
        <w:rPr>
          <w:rFonts w:ascii="Times New Roman" w:hAnsi="Times New Roman"/>
          <w:sz w:val="20"/>
        </w:rPr>
        <w:t xml:space="preserve">”), or other public announcement shall be required or shall be voluntarily made in connection with subsequent sales of Lock-Up Securities acquired in such open market transactions; (b) transfers of Lock-Up Securities as a </w:t>
      </w:r>
      <w:r>
        <w:rPr>
          <w:rFonts w:ascii="Times New Roman" w:hAnsi="Times New Roman"/>
          <w:i/>
          <w:sz w:val="20"/>
        </w:rPr>
        <w:t>bona fide</w:t>
      </w:r>
      <w:r>
        <w:rPr>
          <w:rFonts w:ascii="Times New Roman" w:hAnsi="Times New Roman"/>
          <w:sz w:val="20"/>
        </w:rPr>
        <w:t xml:space="preserve"> gift, by will or intestacy or to a family member or trust for the benefit of the undersigned or a family member (for purposes of this lock-up agreement, “</w:t>
      </w:r>
      <w:r>
        <w:rPr>
          <w:rFonts w:ascii="Times New Roman" w:hAnsi="Times New Roman"/>
          <w:b/>
          <w:sz w:val="20"/>
        </w:rPr>
        <w:t>family member</w:t>
      </w:r>
      <w:r>
        <w:rPr>
          <w:rFonts w:ascii="Times New Roman" w:hAnsi="Times New Roman"/>
          <w:sz w:val="20"/>
        </w:rPr>
        <w:t xml:space="preserve">” means any relationship by blood, marriage or adoption, not more remote than first cousin); (c) transfers of Lock-Up Securities to a charity or educational institution; (d) if the undersigned is a corporation, partnership, limited liability company or other business entity, (i) any transfers of Lock-Up Securities to another corporation, partnership or other business entity that controls, is controlled by or is under common control with the undersigned or (ii) distributions of Lock-Up Securities to members, partners, stockholders, subsidiaries or affiliates (as defined in Rule 405 promulgated under the Securities Act of 1933, as amended) of the undersigned; (e) if the undersigned is a trust, to a trustee or beneficiary of the trust; </w:t>
      </w:r>
      <w:r>
        <w:rPr>
          <w:rFonts w:ascii="Times New Roman" w:hAnsi="Times New Roman"/>
          <w:sz w:val="20"/>
          <w:u w:val="single"/>
        </w:rPr>
        <w:t>provided</w:t>
      </w:r>
      <w:r>
        <w:rPr>
          <w:rFonts w:ascii="Times New Roman" w:hAnsi="Times New Roman"/>
          <w:sz w:val="20"/>
        </w:rPr>
        <w:t xml:space="preserve"> that in the case of any transfer pursuant to the foregoing clauses (b), (c) (d) or (e), (i) any such transfer shall not involve a disposition for value, (ii) each transferee shall sign and deliver to the Representative a lock-up agreement substantially in the form of this lock-up agreement and (iii) no filing under Section 13 or Section 16(a) of the Exchange Act or other public announcement shall be required or shall be voluntarily made; (f) the receipt by the undersigned from the Company of Common Shares upon the vesting of restricted stock awards or stock units or upon the exercise of options to purchase the Company’s Common Shares issued under an equity incentive plan of the Company or an employment arrangement described in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Pricing Prospectus (as defined in the Underwriting Agreement) (the “</w:t>
      </w:r>
      <w:r>
        <w:rPr>
          <w:rFonts w:ascii="Times New Roman" w:hAnsi="Times New Roman"/>
          <w:b/>
          <w:sz w:val="20"/>
        </w:rPr>
        <w:t>Plan Shares</w:t>
      </w:r>
      <w:r>
        <w:rPr>
          <w:rFonts w:ascii="Times New Roman" w:hAnsi="Times New Roman"/>
          <w:sz w:val="20"/>
        </w:rPr>
        <w:t>”) or the transfer of Common Shares or any securities convertible into Common Shares to the Company upon a vesting event of the Company’s securities or upon the exercise of options to purchase the Company’s securities, in each case on a “</w:t>
      </w:r>
      <w:r>
        <w:rPr>
          <w:rFonts w:ascii="Times New Roman" w:hAnsi="Times New Roman"/>
          <w:b/>
          <w:sz w:val="20"/>
        </w:rPr>
        <w:t>cashless</w:t>
      </w:r>
      <w:r>
        <w:rPr>
          <w:rFonts w:ascii="Times New Roman" w:hAnsi="Times New Roman"/>
          <w:sz w:val="20"/>
        </w:rPr>
        <w:t>” or “</w:t>
      </w:r>
      <w:r>
        <w:rPr>
          <w:rFonts w:ascii="Times New Roman" w:hAnsi="Times New Roman"/>
          <w:b/>
          <w:sz w:val="20"/>
        </w:rPr>
        <w:t>net exercise</w:t>
      </w:r>
      <w:r>
        <w:rPr>
          <w:rFonts w:ascii="Times New Roman" w:hAnsi="Times New Roman"/>
          <w:sz w:val="20"/>
        </w:rPr>
        <w:t xml:space="preserve">” basis or to cover tax obligations of the undersigned in connection with such vesting or exercise, but only to the extent such right expires during the Lock-up Period, </w:t>
      </w:r>
      <w:r>
        <w:rPr>
          <w:rFonts w:ascii="Times New Roman" w:hAnsi="Times New Roman"/>
          <w:sz w:val="20"/>
          <w:u w:val="single"/>
        </w:rPr>
        <w:t>provided</w:t>
      </w:r>
      <w:r>
        <w:rPr>
          <w:rFonts w:ascii="Times New Roman" w:hAnsi="Times New Roman"/>
          <w:sz w:val="20"/>
        </w:rPr>
        <w:t xml:space="preserve"> that no filing under Section 13 or Section 16(a) of the Exchange Act or other public announcement shall be required or shall be voluntarily made during the Lock-up Period, and after Lock-up Period, if the undersigned is required to file a report under Section 13 or Section 16(a) of the Exchange Act reporting a reduction in beneficial ownership of Common Shares during the Lock-Up Period, the undersigned shall include a statement in such schedule or report to the effect that the purpose of such transfer was to cover tax withholding obligations of the undersigned in connection with such vesting or exercise and, </w:t>
      </w:r>
      <w:r>
        <w:rPr>
          <w:rFonts w:ascii="Times New Roman" w:hAnsi="Times New Roman"/>
          <w:sz w:val="20"/>
          <w:u w:val="single"/>
        </w:rPr>
        <w:t>provided further</w:t>
      </w:r>
      <w:r>
        <w:rPr>
          <w:rFonts w:ascii="Times New Roman" w:hAnsi="Times New Roman"/>
          <w:sz w:val="20"/>
        </w:rPr>
        <w:t xml:space="preserve">, that the Plan Shares shall be subject to the terms of this lock-up agreement; (g) the transfer of Lock-Up Securities pursuant to agreements described in the Pricing Prospectus under which the Company has the option to repurchase such securities or a right of first refusal with respect to the transfer of such securities, </w:t>
      </w:r>
      <w:r>
        <w:rPr>
          <w:rFonts w:ascii="Times New Roman" w:hAnsi="Times New Roman"/>
          <w:sz w:val="20"/>
          <w:u w:val="single"/>
        </w:rPr>
        <w:t>provided</w:t>
      </w:r>
      <w:r>
        <w:rPr>
          <w:rFonts w:ascii="Times New Roman" w:hAnsi="Times New Roman"/>
          <w:sz w:val="20"/>
        </w:rPr>
        <w:t xml:space="preserve"> that if the undersigned is required to file a report under Section 13 or Section 16(a) of the Exchange Act reporting a reduction in beneficial ownership of Common Shares during the Lock-Up Period, the undersigned shall include a statement in such schedule or report describing the purpose of the transaction; (h) the establishment of a trading plan pursuant to Rule 10b5-1 under the Exchange Act for the transfer of Lock-Up Securities, </w:t>
      </w:r>
      <w:r>
        <w:rPr>
          <w:rFonts w:ascii="Times New Roman" w:hAnsi="Times New Roman"/>
          <w:sz w:val="20"/>
          <w:u w:val="single"/>
        </w:rPr>
        <w:t>provided</w:t>
      </w:r>
      <w:r>
        <w:rPr>
          <w:rFonts w:ascii="Times New Roman" w:hAnsi="Times New Roman"/>
          <w:sz w:val="20"/>
        </w:rPr>
        <w:t xml:space="preserve"> that (i) such plan does not provide for the transfer of Lock-Up Securities during the Lock-Up Period and (ii) to the extent a public announcement or filing under the Exchange Act, if any, is required of or voluntarily made by or on behalf of the undersigned or the Company regarding the establishment of such plan, such public announcement or filing shall include a statement to the effect that no transfer of Lock-Up Securities may be made under such plan during the Lock-Up Period; (i) the conversion of the outstanding preferred stock of the Company into Common Shares, (j) the transfer of Lock-Up Securities that occurs by operation of law, such as pursuant to a qualified domestic order or in connection with a divorce settlement, </w:t>
      </w:r>
      <w:r>
        <w:rPr>
          <w:rFonts w:ascii="Times New Roman" w:hAnsi="Times New Roman"/>
          <w:sz w:val="20"/>
          <w:u w:val="single"/>
        </w:rPr>
        <w:t>provided</w:t>
      </w:r>
      <w:r>
        <w:rPr>
          <w:rFonts w:ascii="Times New Roman" w:hAnsi="Times New Roman"/>
          <w:sz w:val="20"/>
        </w:rPr>
        <w:t xml:space="preserve"> that the transferee agrees to sign and deliver a lock-up agreement substantially in the form of this lock-up agreement for the balance of the Lock-Up Period, and </w:t>
      </w:r>
      <w:r>
        <w:rPr>
          <w:rFonts w:ascii="Times New Roman" w:hAnsi="Times New Roman"/>
          <w:sz w:val="20"/>
          <w:u w:val="single"/>
        </w:rPr>
        <w:t>provided further</w:t>
      </w:r>
      <w:r>
        <w:rPr>
          <w:rFonts w:ascii="Times New Roman" w:hAnsi="Times New Roman"/>
          <w:sz w:val="20"/>
        </w:rPr>
        <w:t xml:space="preserve">, that any filing under Section 13 or Section 16(a) of the Exchange Act that is required to be made during the Lock-Up Period as a result of such transfer shall include a statement that such transfer has occurred by operation of law; and (k) the transfer of Lock-Up Securities pursuant to a bona fide third party tender offer, merger, consolidation or other similar transaction made to all holders of the Common Shares involving a change of control (as defined below) of the Company after the closing of the Public Offering and approved by the Company’s board of directors; </w:t>
      </w:r>
      <w:r>
        <w:rPr>
          <w:rFonts w:ascii="Times New Roman" w:hAnsi="Times New Roman"/>
          <w:sz w:val="20"/>
          <w:u w:val="single"/>
        </w:rPr>
        <w:t>provided</w:t>
      </w:r>
      <w:r>
        <w:rPr>
          <w:rFonts w:ascii="Times New Roman" w:hAnsi="Times New Roman"/>
          <w:sz w:val="20"/>
        </w:rPr>
        <w:t xml:space="preserve"> that in the event that the tender offer, merger, consolidation or other such transaction is not completed, the Lock-Up Securities owned by the undersigned shall remain subject to the restrictions contained in this lock-up agreement. For purposes of clause (k) above, “</w:t>
      </w:r>
      <w:r>
        <w:rPr>
          <w:rFonts w:ascii="Times New Roman" w:hAnsi="Times New Roman"/>
          <w:b/>
          <w:sz w:val="20"/>
        </w:rPr>
        <w:t>change of control</w:t>
      </w:r>
      <w:r>
        <w:rPr>
          <w:rFonts w:ascii="Times New Roman" w:hAnsi="Times New Roman"/>
          <w:sz w:val="20"/>
        </w:rPr>
        <w:t>” shall mean the consummation of any bona fide third party tender offer, merger, amalgamation, consolidation or other similar transaction the result of which is that any “</w:t>
      </w:r>
      <w:r>
        <w:rPr>
          <w:rFonts w:ascii="Times New Roman" w:hAnsi="Times New Roman"/>
          <w:b/>
          <w:sz w:val="20"/>
        </w:rPr>
        <w:t>person</w:t>
      </w:r>
      <w:r>
        <w:rPr>
          <w:rFonts w:ascii="Times New Roman" w:hAnsi="Times New Roman"/>
          <w:sz w:val="20"/>
        </w:rPr>
        <w:t xml:space="preserve">” (as defined in Section 13(d)(3) of the Exchange Act), or group of persons, becomes the beneficial owner (as defined in Rules 13d-3 and 13d-5 of the Exchange Act) of a majority of total voting power of the voting stock of the Company. The undersigned also agrees and consents to the entry of stop transfer instructions with the Company’s transfer agent and registrar against the transfer of the undersigned’s Lock-Up Securities except in compliance with this lock-up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If the undersigned is an officer or director of the Company, (i) the undersigned agrees that the foregoing restrictions shall be equally applicable to any issuer-directed or “</w:t>
      </w:r>
      <w:r>
        <w:rPr>
          <w:rFonts w:ascii="Times New Roman" w:hAnsi="Times New Roman"/>
          <w:b/>
          <w:sz w:val="20"/>
        </w:rPr>
        <w:t>friends and family</w:t>
      </w:r>
      <w:r>
        <w:rPr>
          <w:rFonts w:ascii="Times New Roman" w:hAnsi="Times New Roman"/>
          <w:sz w:val="20"/>
        </w:rPr>
        <w:t xml:space="preserve">” Securities that the undersigned may purchase in the Public Offering; (ii) the Representative agrees that, at least three (3) business days before the effective date of any release or waiver of the foregoing restrictions in connection with a transfer of Lock-Up Securities, the Representative will notify the Company of the impending release or waiver; and (iii) the Company has agreed in the Underwriting Agreement to announce the impending release or waiver by press release through a major news service at least two (2) business days before the effective date of the release or waiver. Any release or waiver granted by the Representative hereunder to any such officer or director shall only be effective two (2) business days after the publication date of such press release. The provisions of this paragraph will not apply if (a) the release or waiver is effected solely to permit a transfer of Lock-Up Securities not for consideration and (b) the transferee has agreed in writing to be bound by the same terms described in this lock-up agreement to the extent and for the duration that such terms remain in effect at the time of such transfer.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understands that the Company and the Representative are relying upon this lock-up agreement in proceeding toward consummation of the Public Offering. The undersigned further understands that this lock-up agreement is irrevocable and shall be binding upon the undersigned’s heirs, legal representatives,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understands that, if the Underwriting Agreement is not executed by [DATE], or if the Underwriting Agreement (other than the provisions thereof which survive termination) shall terminate or be terminated prior to payment for and delivery of the Common Shares to be sold thereunder, then this lock-up agreement shall be void and of no further force or effect. </w:t>
      </w:r>
    </w:p>
    <w:p>
      <w:pPr>
        <w:pStyle w:val="TextBody"/>
        <w:bidi w:val="0"/>
        <w:spacing w:before="240" w:after="0"/>
        <w:jc w:val="left"/>
        <w:rPr>
          <w:rFonts w:ascii="Times New Roman" w:hAnsi="Times New Roman"/>
          <w:sz w:val="20"/>
        </w:rPr>
      </w:pPr>
      <w:r>
        <w:rPr>
          <w:rFonts w:ascii="Times New Roman" w:hAnsi="Times New Roman"/>
          <w:sz w:val="20"/>
        </w:rPr>
        <w:t xml:space="preserve">Whether or not the Public Offering actually occurs depends on a number of factors, including market conditions. Any Public Offering will only be made pursuant to an Underwriting Agreement, the terms of which are subject to negotiation between the Company and the Representative.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Very truly yours,</w:t>
            </w:r>
          </w:p>
        </w:tc>
      </w:tr>
      <w:tr>
        <w:trPr/>
        <w:tc>
          <w:tcPr>
            <w:tcW w:w="10205" w:type="dxa"/>
            <w:tcBorders/>
            <w:vAlign w:val="bottom"/>
          </w:tcPr>
          <w:p>
            <w:pPr>
              <w:pStyle w:val="TableContents"/>
              <w:pBdr>
                <w:bottom w:val="single" w:sz="2" w:space="1" w:color="000000"/>
              </w:pBdr>
              <w:bidi w:val="0"/>
              <w:spacing w:before="0" w:after="20"/>
              <w:jc w:val="left"/>
              <w:rPr/>
            </w:pPr>
            <w:r>
              <w:rPr/>
              <w:t> </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(Name - Please Print)</w:t>
            </w:r>
          </w:p>
        </w:tc>
      </w:tr>
      <w:tr>
        <w:trPr/>
        <w:tc>
          <w:tcPr>
            <w:tcW w:w="10205" w:type="dxa"/>
            <w:tcBorders/>
            <w:vAlign w:val="bottom"/>
          </w:tcPr>
          <w:p>
            <w:pPr>
              <w:pStyle w:val="TableContents"/>
              <w:pBdr>
                <w:bottom w:val="single" w:sz="2" w:space="1" w:color="000000"/>
              </w:pBdr>
              <w:bidi w:val="0"/>
              <w:spacing w:before="0" w:after="20"/>
              <w:jc w:val="left"/>
              <w:rPr/>
            </w:pPr>
            <w:r>
              <w:rPr/>
              <w:t> </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(Signature)</w:t>
            </w:r>
          </w:p>
        </w:tc>
      </w:tr>
      <w:tr>
        <w:trPr/>
        <w:tc>
          <w:tcPr>
            <w:tcW w:w="10205" w:type="dxa"/>
            <w:tcBorders/>
            <w:vAlign w:val="bottom"/>
          </w:tcPr>
          <w:p>
            <w:pPr>
              <w:pStyle w:val="TableContents"/>
              <w:pBdr>
                <w:bottom w:val="single" w:sz="2" w:space="1" w:color="000000"/>
              </w:pBdr>
              <w:bidi w:val="0"/>
              <w:spacing w:before="0" w:after="20"/>
              <w:jc w:val="left"/>
              <w:rPr/>
            </w:pPr>
            <w:r>
              <w:rPr/>
              <w:t> </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(Name of Signatory, in the case of entities - Please Print)</w:t>
            </w:r>
          </w:p>
        </w:tc>
      </w:tr>
      <w:tr>
        <w:trPr/>
        <w:tc>
          <w:tcPr>
            <w:tcW w:w="10205" w:type="dxa"/>
            <w:tcBorders/>
            <w:vAlign w:val="bottom"/>
          </w:tcPr>
          <w:p>
            <w:pPr>
              <w:pStyle w:val="TableContents"/>
              <w:pBdr>
                <w:bottom w:val="single" w:sz="2" w:space="1" w:color="000000"/>
              </w:pBdr>
              <w:bidi w:val="0"/>
              <w:spacing w:before="0" w:after="20"/>
              <w:jc w:val="left"/>
              <w:rPr/>
            </w:pPr>
            <w:r>
              <w:rPr/>
              <w:t> </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(Title of Signatory, in the case of entities - Please Print)</w:t>
            </w:r>
          </w:p>
        </w:tc>
      </w:tr>
      <w:tr>
        <w:trPr>
          <w:trHeight w:val="24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sz w:val="4"/>
                <w:szCs w:val="4"/>
              </w:rPr>
            </w:pPr>
            <w:r>
              <w:rPr>
                <w:sz w:val="4"/>
                <w:szCs w:val="4"/>
              </w:rPr>
            </w:r>
          </w:p>
        </w:tc>
      </w:tr>
      <w:tr>
        <w:trPr/>
        <w:tc>
          <w:tcPr>
            <w:tcW w:w="10205" w:type="dxa"/>
            <w:tcBorders/>
            <w:vAlign w:val="bottom"/>
          </w:tcPr>
          <w:p>
            <w:pPr>
              <w:pStyle w:val="TableContents"/>
              <w:bidi w:val="0"/>
              <w:spacing w:before="0" w:after="283"/>
              <w:jc w:val="left"/>
              <w:rPr>
                <w:sz w:val="4"/>
                <w:szCs w:val="4"/>
              </w:rPr>
            </w:pPr>
            <w:r>
              <w:rPr>
                <w:sz w:val="4"/>
                <w:szCs w:val="4"/>
              </w:rPr>
            </w:r>
          </w:p>
        </w:tc>
      </w:tr>
      <w:tr>
        <w:trPr/>
        <w:tc>
          <w:tcPr>
            <w:tcW w:w="10205"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25"/>
        <w:gridCol w:w="122"/>
        <w:gridCol w:w="2315"/>
        <w:gridCol w:w="122"/>
        <w:gridCol w:w="6821"/>
      </w:tblGrid>
      <w:tr>
        <w:trPr/>
        <w:tc>
          <w:tcPr>
            <w:tcW w:w="82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821" w:type="dxa"/>
            <w:tcBorders/>
            <w:vAlign w:val="center"/>
          </w:tcPr>
          <w:p>
            <w:pPr>
              <w:pStyle w:val="TableContents"/>
              <w:bidi w:val="0"/>
              <w:spacing w:before="0" w:after="283"/>
              <w:jc w:val="left"/>
              <w:rPr>
                <w:sz w:val="4"/>
                <w:szCs w:val="4"/>
              </w:rPr>
            </w:pPr>
            <w:r>
              <w:rPr>
                <w:sz w:val="4"/>
                <w:szCs w:val="4"/>
              </w:rPr>
            </w:r>
          </w:p>
        </w:tc>
      </w:tr>
      <w:tr>
        <w:trPr/>
        <w:tc>
          <w:tcPr>
            <w:tcW w:w="825" w:type="dxa"/>
            <w:tcBorders/>
          </w:tcPr>
          <w:p>
            <w:pPr>
              <w:pStyle w:val="TableContents"/>
              <w:bidi w:val="0"/>
              <w:spacing w:before="0" w:after="0"/>
              <w:jc w:val="left"/>
              <w:rPr>
                <w:rFonts w:ascii="Times New Roman" w:hAnsi="Times New Roman"/>
                <w:sz w:val="20"/>
              </w:rPr>
            </w:pPr>
            <w:r>
              <w:rPr>
                <w:rFonts w:ascii="Times New Roman" w:hAnsi="Times New Roman"/>
                <w:sz w:val="20"/>
              </w:rPr>
              <w:t>Address:</w:t>
            </w:r>
          </w:p>
        </w:tc>
        <w:tc>
          <w:tcPr>
            <w:tcW w:w="122" w:type="dxa"/>
            <w:tcBorders>
              <w:bottom w:val="single" w:sz="2" w:space="0" w:color="000000"/>
            </w:tcBorders>
            <w:tcMar>
              <w:bottom w:w="28" w:type="dxa"/>
            </w:tcMar>
            <w:vAlign w:val="bottom"/>
          </w:tcPr>
          <w:p>
            <w:pPr>
              <w:pStyle w:val="TableContents"/>
              <w:bidi w:val="0"/>
              <w:spacing w:before="0" w:after="283"/>
              <w:jc w:val="left"/>
              <w:rPr/>
            </w:pPr>
            <w:r>
              <w:rPr/>
              <w:t>  </w:t>
            </w:r>
          </w:p>
        </w:tc>
        <w:tc>
          <w:tcPr>
            <w:tcW w:w="2315" w:type="dxa"/>
            <w:tcBorders>
              <w:bottom w:val="single" w:sz="2" w:space="0" w:color="000000"/>
            </w:tcBorders>
            <w:tcMar>
              <w:bottom w:w="28" w:type="dxa"/>
            </w:tcMa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821" w:type="dxa"/>
            <w:tcBorders/>
          </w:tcPr>
          <w:p>
            <w:pPr>
              <w:pStyle w:val="TableContents"/>
              <w:bidi w:val="0"/>
              <w:spacing w:before="0" w:after="283"/>
              <w:jc w:val="left"/>
              <w:rPr>
                <w:sz w:val="4"/>
                <w:szCs w:val="4"/>
              </w:rPr>
            </w:pPr>
            <w:r>
              <w:rPr>
                <w:sz w:val="4"/>
                <w:szCs w:val="4"/>
              </w:rPr>
            </w:r>
          </w:p>
        </w:tc>
      </w:tr>
      <w:tr>
        <w:trPr>
          <w:trHeight w:val="60" w:hRule="atLeast"/>
        </w:trPr>
        <w:tc>
          <w:tcPr>
            <w:tcW w:w="825" w:type="dxa"/>
            <w:tcBorders/>
            <w:vAlign w:val="center"/>
          </w:tcPr>
          <w:p>
            <w:pPr>
              <w:pStyle w:val="TableContents"/>
              <w:bidi w:val="0"/>
              <w:spacing w:before="0" w:after="283"/>
              <w:jc w:val="left"/>
              <w:rPr>
                <w:sz w:val="4"/>
                <w:szCs w:val="4"/>
              </w:rPr>
            </w:pPr>
            <w:r>
              <w:rPr>
                <w:sz w:val="4"/>
                <w:szCs w:val="4"/>
              </w:rPr>
            </w:r>
          </w:p>
        </w:tc>
        <w:tc>
          <w:tcPr>
            <w:tcW w:w="2437" w:type="dxa"/>
            <w:gridSpan w:val="2"/>
            <w:tcBorders/>
            <w:vAlign w:val="center"/>
          </w:tcPr>
          <w:p>
            <w:pPr>
              <w:pStyle w:val="TableContents"/>
              <w:bidi w:val="0"/>
              <w:spacing w:before="0" w:after="283"/>
              <w:jc w:val="left"/>
              <w:rPr>
                <w:sz w:val="4"/>
                <w:szCs w:val="4"/>
              </w:rPr>
            </w:pPr>
            <w:r>
              <w:rPr>
                <w:sz w:val="4"/>
                <w:szCs w:val="4"/>
              </w:rPr>
            </w:r>
          </w:p>
        </w:tc>
        <w:tc>
          <w:tcPr>
            <w:tcW w:w="6943" w:type="dxa"/>
            <w:gridSpan w:val="2"/>
            <w:tcBorders/>
            <w:vAlign w:val="center"/>
          </w:tcPr>
          <w:p>
            <w:pPr>
              <w:pStyle w:val="TableContents"/>
              <w:bidi w:val="0"/>
              <w:spacing w:before="0" w:after="283"/>
              <w:jc w:val="left"/>
              <w:rPr>
                <w:sz w:val="4"/>
                <w:szCs w:val="4"/>
              </w:rPr>
            </w:pPr>
            <w:r>
              <w:rPr>
                <w:sz w:val="4"/>
                <w:szCs w:val="4"/>
              </w:rPr>
            </w:r>
          </w:p>
        </w:tc>
      </w:tr>
      <w:tr>
        <w:trPr/>
        <w:tc>
          <w:tcPr>
            <w:tcW w:w="825" w:type="dxa"/>
            <w:tcBorders/>
          </w:tcPr>
          <w:p>
            <w:pPr>
              <w:pStyle w:val="TableContents"/>
              <w:bidi w:val="0"/>
              <w:spacing w:before="0" w:after="283"/>
              <w:jc w:val="left"/>
              <w:rPr>
                <w:sz w:val="4"/>
                <w:szCs w:val="4"/>
              </w:rPr>
            </w:pPr>
            <w:r>
              <w:rPr>
                <w:sz w:val="4"/>
                <w:szCs w:val="4"/>
              </w:rPr>
            </w:r>
          </w:p>
        </w:tc>
        <w:tc>
          <w:tcPr>
            <w:tcW w:w="122" w:type="dxa"/>
            <w:tcBorders>
              <w:bottom w:val="single" w:sz="2" w:space="0" w:color="000000"/>
            </w:tcBorders>
            <w:tcMar>
              <w:bottom w:w="28" w:type="dxa"/>
            </w:tcMar>
            <w:vAlign w:val="bottom"/>
          </w:tcPr>
          <w:p>
            <w:pPr>
              <w:pStyle w:val="TableContents"/>
              <w:bidi w:val="0"/>
              <w:spacing w:before="0" w:after="283"/>
              <w:jc w:val="left"/>
              <w:rPr/>
            </w:pPr>
            <w:r>
              <w:rPr/>
              <w:t>  </w:t>
            </w:r>
          </w:p>
        </w:tc>
        <w:tc>
          <w:tcPr>
            <w:tcW w:w="2315" w:type="dxa"/>
            <w:tcBorders>
              <w:bottom w:val="single" w:sz="2" w:space="0" w:color="000000"/>
            </w:tcBorders>
            <w:tcMar>
              <w:bottom w:w="28" w:type="dxa"/>
            </w:tcMa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821" w:type="dxa"/>
            <w:tcBorders/>
          </w:tcPr>
          <w:p>
            <w:pPr>
              <w:pStyle w:val="TableContents"/>
              <w:bidi w:val="0"/>
              <w:spacing w:before="0" w:after="283"/>
              <w:jc w:val="left"/>
              <w:rPr>
                <w:sz w:val="4"/>
                <w:szCs w:val="4"/>
              </w:rPr>
            </w:pPr>
            <w:r>
              <w:rPr>
                <w:sz w:val="4"/>
                <w:szCs w:val="4"/>
              </w:rPr>
            </w:r>
          </w:p>
        </w:tc>
      </w:tr>
      <w:tr>
        <w:trPr>
          <w:trHeight w:val="60" w:hRule="atLeast"/>
        </w:trPr>
        <w:tc>
          <w:tcPr>
            <w:tcW w:w="825" w:type="dxa"/>
            <w:tcBorders/>
            <w:vAlign w:val="center"/>
          </w:tcPr>
          <w:p>
            <w:pPr>
              <w:pStyle w:val="TableContents"/>
              <w:bidi w:val="0"/>
              <w:spacing w:before="0" w:after="283"/>
              <w:jc w:val="left"/>
              <w:rPr>
                <w:sz w:val="4"/>
                <w:szCs w:val="4"/>
              </w:rPr>
            </w:pPr>
            <w:r>
              <w:rPr>
                <w:sz w:val="4"/>
                <w:szCs w:val="4"/>
              </w:rPr>
            </w:r>
          </w:p>
        </w:tc>
        <w:tc>
          <w:tcPr>
            <w:tcW w:w="2437" w:type="dxa"/>
            <w:gridSpan w:val="2"/>
            <w:tcBorders/>
            <w:vAlign w:val="center"/>
          </w:tcPr>
          <w:p>
            <w:pPr>
              <w:pStyle w:val="TableContents"/>
              <w:bidi w:val="0"/>
              <w:spacing w:before="0" w:after="283"/>
              <w:jc w:val="left"/>
              <w:rPr>
                <w:sz w:val="4"/>
                <w:szCs w:val="4"/>
              </w:rPr>
            </w:pPr>
            <w:r>
              <w:rPr>
                <w:sz w:val="4"/>
                <w:szCs w:val="4"/>
              </w:rPr>
            </w:r>
          </w:p>
        </w:tc>
        <w:tc>
          <w:tcPr>
            <w:tcW w:w="6943" w:type="dxa"/>
            <w:gridSpan w:val="2"/>
            <w:tcBorders/>
            <w:vAlign w:val="center"/>
          </w:tcPr>
          <w:p>
            <w:pPr>
              <w:pStyle w:val="TableContents"/>
              <w:bidi w:val="0"/>
              <w:spacing w:before="0" w:after="283"/>
              <w:jc w:val="left"/>
              <w:rPr>
                <w:sz w:val="4"/>
                <w:szCs w:val="4"/>
              </w:rPr>
            </w:pPr>
            <w:r>
              <w:rPr>
                <w:sz w:val="4"/>
                <w:szCs w:val="4"/>
              </w:rPr>
            </w:r>
          </w:p>
        </w:tc>
      </w:tr>
      <w:tr>
        <w:trPr/>
        <w:tc>
          <w:tcPr>
            <w:tcW w:w="825" w:type="dxa"/>
            <w:tcBorders/>
          </w:tcPr>
          <w:p>
            <w:pPr>
              <w:pStyle w:val="TableContents"/>
              <w:bidi w:val="0"/>
              <w:spacing w:before="0" w:after="283"/>
              <w:jc w:val="left"/>
              <w:rPr>
                <w:sz w:val="4"/>
                <w:szCs w:val="4"/>
              </w:rPr>
            </w:pPr>
            <w:r>
              <w:rPr>
                <w:sz w:val="4"/>
                <w:szCs w:val="4"/>
              </w:rPr>
            </w:r>
          </w:p>
        </w:tc>
        <w:tc>
          <w:tcPr>
            <w:tcW w:w="122" w:type="dxa"/>
            <w:tcBorders>
              <w:bottom w:val="single" w:sz="2" w:space="0" w:color="000000"/>
            </w:tcBorders>
            <w:tcMar>
              <w:bottom w:w="28" w:type="dxa"/>
            </w:tcMar>
            <w:vAlign w:val="bottom"/>
          </w:tcPr>
          <w:p>
            <w:pPr>
              <w:pStyle w:val="TableContents"/>
              <w:bidi w:val="0"/>
              <w:spacing w:before="0" w:after="283"/>
              <w:jc w:val="left"/>
              <w:rPr/>
            </w:pPr>
            <w:r>
              <w:rPr/>
              <w:t>  </w:t>
            </w:r>
          </w:p>
        </w:tc>
        <w:tc>
          <w:tcPr>
            <w:tcW w:w="2315" w:type="dxa"/>
            <w:tcBorders>
              <w:bottom w:val="single" w:sz="2" w:space="0" w:color="000000"/>
            </w:tcBorders>
            <w:tcMar>
              <w:bottom w:w="28" w:type="dxa"/>
            </w:tcMar>
          </w:tcPr>
          <w:p>
            <w:pPr>
              <w:pStyle w:val="TableContents"/>
              <w:bidi w:val="0"/>
              <w:spacing w:before="0" w:after="283"/>
              <w:jc w:val="left"/>
              <w:rPr/>
            </w:pPr>
            <w:r>
              <w:rPr/>
              <w:t> </w:t>
            </w:r>
          </w:p>
        </w:tc>
        <w:tc>
          <w:tcPr>
            <w:tcW w:w="122" w:type="dxa"/>
            <w:tcBorders/>
            <w:vAlign w:val="bottom"/>
          </w:tcPr>
          <w:p>
            <w:pPr>
              <w:pStyle w:val="TableContents"/>
              <w:bidi w:val="0"/>
              <w:spacing w:before="0" w:after="283"/>
              <w:jc w:val="left"/>
              <w:rPr/>
            </w:pPr>
            <w:r>
              <w:rPr/>
              <w:t>  </w:t>
            </w:r>
          </w:p>
        </w:tc>
        <w:tc>
          <w:tcPr>
            <w:tcW w:w="6821"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C </w:t>
      </w:r>
    </w:p>
    <w:p>
      <w:pPr>
        <w:pStyle w:val="TextBody"/>
        <w:bidi w:val="0"/>
        <w:spacing w:before="120" w:after="0"/>
        <w:jc w:val="center"/>
        <w:rPr>
          <w:rFonts w:ascii="Times New Roman" w:hAnsi="Times New Roman"/>
          <w:b/>
          <w:sz w:val="20"/>
        </w:rPr>
      </w:pPr>
      <w:r>
        <w:rPr>
          <w:rFonts w:ascii="Times New Roman" w:hAnsi="Times New Roman"/>
          <w:b/>
          <w:sz w:val="20"/>
        </w:rPr>
        <w:t xml:space="preserve">Form of Press Release </w:t>
      </w:r>
    </w:p>
    <w:p>
      <w:pPr>
        <w:pStyle w:val="TextBody"/>
        <w:bidi w:val="0"/>
        <w:spacing w:before="240" w:after="0"/>
        <w:jc w:val="left"/>
        <w:rPr>
          <w:rFonts w:ascii="Times New Roman" w:hAnsi="Times New Roman"/>
          <w:b/>
          <w:sz w:val="20"/>
        </w:rPr>
      </w:pPr>
      <w:r>
        <w:rPr>
          <w:rFonts w:ascii="Times New Roman" w:hAnsi="Times New Roman"/>
          <w:b/>
          <w:sz w:val="20"/>
        </w:rPr>
        <w:t xml:space="preserve">Rein Therapeutics, Inc. </w:t>
      </w:r>
    </w:p>
    <w:p>
      <w:pPr>
        <w:pStyle w:val="TextBody"/>
        <w:bidi w:val="0"/>
        <w:spacing w:before="240" w:after="0"/>
        <w:jc w:val="left"/>
        <w:rPr>
          <w:rFonts w:ascii="Times New Roman" w:hAnsi="Times New Roman"/>
          <w:b/>
          <w:sz w:val="20"/>
        </w:rPr>
      </w:pPr>
      <w:r>
        <w:rPr>
          <w:rFonts w:ascii="Times New Roman" w:hAnsi="Times New Roman"/>
          <w:b/>
          <w:sz w:val="20"/>
        </w:rPr>
        <w:t xml:space="preserve">[Date] </w:t>
      </w:r>
    </w:p>
    <w:p>
      <w:pPr>
        <w:pStyle w:val="TextBody"/>
        <w:bidi w:val="0"/>
        <w:spacing w:before="240" w:after="0"/>
        <w:jc w:val="left"/>
        <w:rPr>
          <w:rFonts w:ascii="Times New Roman" w:hAnsi="Times New Roman"/>
          <w:sz w:val="20"/>
        </w:rPr>
      </w:pPr>
      <w:r>
        <w:rPr>
          <w:rFonts w:ascii="Times New Roman" w:hAnsi="Times New Roman"/>
          <w:sz w:val="20"/>
        </w:rPr>
        <w:t xml:space="preserve">Rein Therapeutics, Inc. (the “Company”) announced today that Konik Capital Partners, LLC, a division of T.R. Winston and Company, acting as representative for the underwriters in the Company’s recent public offering of _______ shares of the Company’s common stock, is [waiving] [releasing] a lock-up restriction with respect to _________ shares of the Company’s common stock held by [certain officers or directors] [an officer or director] of the Company. The [waiver] [release] will take effect on _________, 20___, and the shares may be sold on or after such date. </w:t>
      </w:r>
    </w:p>
    <w:p>
      <w:pPr>
        <w:pStyle w:val="TextBody"/>
        <w:bidi w:val="0"/>
        <w:spacing w:before="240" w:after="0"/>
        <w:jc w:val="left"/>
        <w:rPr>
          <w:rFonts w:ascii="Times New Roman" w:hAnsi="Times New Roman"/>
          <w:b/>
          <w:sz w:val="20"/>
        </w:rPr>
      </w:pPr>
      <w:r>
        <w:rPr>
          <w:rFonts w:ascii="Times New Roman" w:hAnsi="Times New Roman"/>
          <w:b/>
          <w:sz w:val="20"/>
        </w:rPr>
        <w:t xml:space="preserve">This press release is not an offer or sale of the securities in the United States or in any other jurisdiction where such offer or sale is prohibited, and such securities may not be offered or sold in the United States absent registration or an exemption from registration under the Securities Act of 1933, as amended. </w:t>
      </w:r>
    </w:p>
    <w:p>
      <w:pPr>
        <w:pStyle w:val="TextBody"/>
        <w:bidi w:val="0"/>
        <w:spacing w:before="0" w:after="0"/>
        <w:jc w:val="right"/>
        <w:rPr>
          <w:rFonts w:ascii="Times New Roman" w:hAnsi="Times New Roman"/>
          <w:b/>
          <w:sz w:val="20"/>
        </w:rPr>
      </w:pPr>
      <w:bookmarkStart w:id="4" w:name="d168655dex51.htm"/>
      <w:bookmarkStart w:id="5" w:name="ksd168655dex51"/>
      <w:bookmarkEnd w:id="4"/>
      <w:bookmarkEnd w:id="5"/>
      <w:r>
        <w:rPr>
          <w:rFonts w:ascii="Times New Roman" w:hAnsi="Times New Roman"/>
          <w:b/>
          <w:sz w:val="20"/>
        </w:rPr>
        <w:t xml:space="preserve">Exhibit 5.1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GREENBERG TRAURIG, LLP </w:t>
      </w:r>
    </w:p>
    <w:p>
      <w:pPr>
        <w:pStyle w:val="TextBody"/>
        <w:bidi w:val="0"/>
        <w:spacing w:before="0" w:after="0"/>
        <w:jc w:val="center"/>
        <w:rPr>
          <w:rFonts w:ascii="Times New Roman" w:hAnsi="Times New Roman"/>
          <w:b/>
          <w:sz w:val="20"/>
        </w:rPr>
      </w:pPr>
      <w:r>
        <w:rPr>
          <w:rFonts w:ascii="Times New Roman" w:hAnsi="Times New Roman"/>
          <w:b/>
          <w:sz w:val="20"/>
        </w:rPr>
        <w:t xml:space="preserve">18565 Jamboree Road, Suite 500 </w:t>
      </w:r>
    </w:p>
    <w:p>
      <w:pPr>
        <w:pStyle w:val="TextBody"/>
        <w:bidi w:val="0"/>
        <w:spacing w:before="0" w:after="0"/>
        <w:jc w:val="center"/>
        <w:rPr>
          <w:rFonts w:ascii="Times New Roman" w:hAnsi="Times New Roman"/>
          <w:b/>
          <w:sz w:val="20"/>
        </w:rPr>
      </w:pPr>
      <w:r>
        <w:rPr>
          <w:rFonts w:ascii="Times New Roman" w:hAnsi="Times New Roman"/>
          <w:b/>
          <w:sz w:val="20"/>
        </w:rPr>
        <w:t xml:space="preserve">Irvine, California 92612 </w:t>
      </w:r>
    </w:p>
    <w:p>
      <w:pPr>
        <w:pStyle w:val="TextBody"/>
        <w:bidi w:val="0"/>
        <w:spacing w:before="240" w:after="0"/>
        <w:jc w:val="center"/>
        <w:rPr>
          <w:rFonts w:ascii="Times New Roman" w:hAnsi="Times New Roman"/>
          <w:sz w:val="20"/>
        </w:rPr>
      </w:pPr>
      <w:r>
        <w:rPr>
          <w:rFonts w:ascii="Times New Roman" w:hAnsi="Times New Roman"/>
          <w:sz w:val="20"/>
        </w:rPr>
        <w:t xml:space="preserve">April 30, 2026 </w:t>
      </w:r>
    </w:p>
    <w:p>
      <w:pPr>
        <w:pStyle w:val="TextBody"/>
        <w:bidi w:val="0"/>
        <w:spacing w:before="240" w:after="0"/>
        <w:jc w:val="left"/>
        <w:rPr>
          <w:rFonts w:ascii="Times New Roman" w:hAnsi="Times New Roman"/>
          <w:sz w:val="20"/>
        </w:rPr>
      </w:pPr>
      <w:r>
        <w:rPr>
          <w:rFonts w:ascii="Times New Roman" w:hAnsi="Times New Roman"/>
          <w:sz w:val="20"/>
        </w:rPr>
        <w:t xml:space="preserve">Rein Therapeutics, Inc. </w:t>
      </w:r>
    </w:p>
    <w:p>
      <w:pPr>
        <w:pStyle w:val="TextBody"/>
        <w:bidi w:val="0"/>
        <w:spacing w:before="0" w:after="0"/>
        <w:jc w:val="left"/>
        <w:rPr>
          <w:rFonts w:ascii="Times New Roman" w:hAnsi="Times New Roman"/>
          <w:sz w:val="20"/>
        </w:rPr>
      </w:pPr>
      <w:r>
        <w:rPr>
          <w:rFonts w:ascii="Times New Roman" w:hAnsi="Times New Roman"/>
          <w:sz w:val="20"/>
        </w:rPr>
        <w:t xml:space="preserve">12407 N. Mopac Expy., Suite 250 #390 </w:t>
      </w:r>
    </w:p>
    <w:p>
      <w:pPr>
        <w:pStyle w:val="TextBody"/>
        <w:bidi w:val="0"/>
        <w:spacing w:before="0" w:after="0"/>
        <w:jc w:val="left"/>
        <w:rPr>
          <w:rFonts w:ascii="Times New Roman" w:hAnsi="Times New Roman"/>
          <w:sz w:val="20"/>
        </w:rPr>
      </w:pPr>
      <w:r>
        <w:rPr>
          <w:rFonts w:ascii="Times New Roman" w:hAnsi="Times New Roman"/>
          <w:sz w:val="20"/>
        </w:rPr>
        <w:t xml:space="preserve">Austin, Texas 78758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Re: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Registration Statement on Form S-1 </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counsel to Rein Therapeutics, Inc., a Delaware corporation (the “</w:t>
      </w:r>
      <w:r>
        <w:rPr>
          <w:rFonts w:ascii="Times New Roman" w:hAnsi="Times New Roman"/>
          <w:b/>
          <w:sz w:val="20"/>
        </w:rPr>
        <w:t>Company</w:t>
      </w:r>
      <w:r>
        <w:rPr>
          <w:rFonts w:ascii="Times New Roman" w:hAnsi="Times New Roman"/>
          <w:sz w:val="20"/>
        </w:rPr>
        <w:t>”), in connection with the Registration Statement on Form S-1 (SEC No. 333-295390) (the “</w:t>
      </w:r>
      <w:r>
        <w:rPr>
          <w:rFonts w:ascii="Times New Roman" w:hAnsi="Times New Roman"/>
          <w:b/>
          <w:sz w:val="20"/>
        </w:rPr>
        <w:t>Registration Statement</w:t>
      </w:r>
      <w:r>
        <w:rPr>
          <w:rFonts w:ascii="Times New Roman" w:hAnsi="Times New Roman"/>
          <w:sz w:val="20"/>
        </w:rPr>
        <w:t>”) filed with the Securities and Exchange Commission under the Securities Act of 1933, as amended, for the registration of (i) up to 57,500,000 shares (the “</w:t>
      </w:r>
      <w:r>
        <w:rPr>
          <w:rFonts w:ascii="Times New Roman" w:hAnsi="Times New Roman"/>
          <w:b/>
          <w:sz w:val="20"/>
        </w:rPr>
        <w:t>Common Shares</w:t>
      </w:r>
      <w:r>
        <w:rPr>
          <w:rFonts w:ascii="Times New Roman" w:hAnsi="Times New Roman"/>
          <w:sz w:val="20"/>
        </w:rPr>
        <w:t>”) of the Company’s common stock (“</w:t>
      </w:r>
      <w:r>
        <w:rPr>
          <w:rFonts w:ascii="Times New Roman" w:hAnsi="Times New Roman"/>
          <w:b/>
          <w:sz w:val="20"/>
        </w:rPr>
        <w:t>Common Stock</w:t>
      </w:r>
      <w:r>
        <w:rPr>
          <w:rFonts w:ascii="Times New Roman" w:hAnsi="Times New Roman"/>
          <w:sz w:val="20"/>
        </w:rPr>
        <w:t>”); (ii) a warrant to purchase up to 1,725,000 shares of Common Stock to be issued to the representative of the underwriters (the “</w:t>
      </w:r>
      <w:r>
        <w:rPr>
          <w:rFonts w:ascii="Times New Roman" w:hAnsi="Times New Roman"/>
          <w:b/>
          <w:sz w:val="20"/>
        </w:rPr>
        <w:t>Representative’s Warrant</w:t>
      </w:r>
      <w:r>
        <w:rPr>
          <w:rFonts w:ascii="Times New Roman" w:hAnsi="Times New Roman"/>
          <w:sz w:val="20"/>
        </w:rPr>
        <w:t>”); and (iii) up to 1,725,000 shares of Common Stock underlying the Representative’s Warrant (the “</w:t>
      </w:r>
      <w:r>
        <w:rPr>
          <w:rFonts w:ascii="Times New Roman" w:hAnsi="Times New Roman"/>
          <w:b/>
          <w:sz w:val="20"/>
        </w:rPr>
        <w:t>Underlying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You have requested our opinion as to the matters set forth below in connection with the Registration Statement. For purposes of rendering this opinion, we have examined the Registration Statement, forms of the Restated Certificate of Incorporation, as amended, and Amended and Restated By-laws of the Company currently in effect at the close of the offering, the Representative’s Warrant, and the corporate action of the Company that provides for the issuance of the Common Shares and execution of the Representative’s Warrant, and we have made such other investigation as we have deemed appropriate. We have examined and relied upon certificates of public officials and, as to certain matters of fact that are material to our opinion, we have also relied on a certificate of an officer of the Company. We have not independently verified the matters set forth in such certificates. </w:t>
      </w:r>
    </w:p>
    <w:p>
      <w:pPr>
        <w:pStyle w:val="TextBody"/>
        <w:bidi w:val="0"/>
        <w:spacing w:before="240" w:after="0"/>
        <w:jc w:val="left"/>
        <w:rPr>
          <w:rFonts w:ascii="Times New Roman" w:hAnsi="Times New Roman"/>
          <w:sz w:val="20"/>
        </w:rPr>
      </w:pPr>
      <w:r>
        <w:rPr>
          <w:rFonts w:ascii="Times New Roman" w:hAnsi="Times New Roman"/>
          <w:sz w:val="20"/>
        </w:rPr>
        <w:t xml:space="preserve">We express no opinion herein as to the laws of any state or jurisdiction other than the General Corporation Law of the State of Delaware, the laws of the State of New York and the federal laws of the United States of America. </w:t>
      </w:r>
    </w:p>
    <w:p>
      <w:pPr>
        <w:pStyle w:val="TextBody"/>
        <w:bidi w:val="0"/>
        <w:spacing w:before="240" w:after="0"/>
        <w:jc w:val="left"/>
        <w:rPr>
          <w:rFonts w:ascii="Times New Roman" w:hAnsi="Times New Roman"/>
          <w:sz w:val="20"/>
        </w:rPr>
      </w:pPr>
      <w:r>
        <w:rPr>
          <w:rFonts w:ascii="Times New Roman" w:hAnsi="Times New Roman"/>
          <w:sz w:val="20"/>
        </w:rPr>
        <w:t xml:space="preserve">Based upon and subject to the foregoing, it is our opinion that the Common Shares are duly authorized for issuance by the Company and, when issued and paid for as described in the Registration Statement,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Based upon and subject to the foregoing, it is our opinion that the Representative’s Warrant has been duly authorized for issuance by the Company and, when issued in conformity with and pursuant to the Registration Statement,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Based upon and subject to the foregoing, it is our opinion that the Underlying Shares have been duly authorized for issuance by the Company and, upon exercise and payment of the exercise price therefor in accordance with the terms of the Representative’s Warrant,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as an exhibit to the Registration Statement and to the reference to our name under the caption “Legal Matters” in the prospectus made part of the Registration Statement. This opinion is expressed as of the date hereof, and we disclaim any responsibility to advise you of any changes in the facts stated or assumed herein or any changes in applicable law.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/s/ GREENBERG TRAURIG, LLP</w:t>
            </w:r>
          </w:p>
        </w:tc>
      </w:tr>
    </w:tbl>
    <w:p>
      <w:pPr>
        <w:pStyle w:val="TextBody"/>
        <w:bidi w:val="0"/>
        <w:spacing w:before="0" w:after="0"/>
        <w:jc w:val="right"/>
        <w:rPr>
          <w:rFonts w:ascii="Times New Roman" w:hAnsi="Times New Roman"/>
          <w:b/>
          <w:sz w:val="20"/>
        </w:rPr>
      </w:pPr>
      <w:bookmarkStart w:id="6" w:name="d168655dex991.htm"/>
      <w:bookmarkStart w:id="7" w:name="ksd168655dex991"/>
      <w:bookmarkEnd w:id="6"/>
      <w:bookmarkEnd w:id="7"/>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Rein Therapeutics Announces Pricing of $50 Million Underwritten Public Offering of Common Stock </w:t>
      </w:r>
    </w:p>
    <w:p>
      <w:pPr>
        <w:pStyle w:val="TextBody"/>
        <w:bidi w:val="0"/>
        <w:spacing w:before="240" w:after="0"/>
        <w:jc w:val="left"/>
        <w:rPr>
          <w:rFonts w:ascii="Times New Roman" w:hAnsi="Times New Roman"/>
          <w:sz w:val="20"/>
        </w:rPr>
      </w:pPr>
      <w:r>
        <w:rPr>
          <w:rFonts w:ascii="Times New Roman" w:hAnsi="Times New Roman"/>
          <w:b/>
          <w:sz w:val="20"/>
        </w:rPr>
        <w:t>AUSTIN, Texas, April</w:t>
      </w:r>
      <w:r>
        <w:rPr>
          <w:rFonts w:ascii="Times New Roman" w:hAnsi="Times New Roman"/>
          <w:sz w:val="20"/>
        </w:rPr>
        <w:t> </w:t>
      </w:r>
      <w:r>
        <w:rPr>
          <w:rFonts w:ascii="Times New Roman" w:hAnsi="Times New Roman"/>
          <w:b/>
          <w:sz w:val="20"/>
        </w:rPr>
        <w:t xml:space="preserve">30, 2026 (GLOBE NEWSWIRE) — </w:t>
      </w:r>
      <w:r>
        <w:rPr>
          <w:rFonts w:ascii="Times New Roman" w:hAnsi="Times New Roman"/>
          <w:sz w:val="20"/>
        </w:rPr>
        <w:t xml:space="preserve">Rein Therapeutics, Inc. (“Rein” or the “Company”) (NASDAQ: RNTX), a clinical-stage biopharmaceutical company advancing a novel pipeline of first-in-class medicines for orphan pulmonary and fibrosis indications, today announced the pricing of its underwritten public offering of fifty million shares of its common stock at a public offering price of $1.00 per share for aggregate gross proceeds of $50 million, prior to deducting underwriting discounts and commissions and other offering expenses. In addition, the Company has granted the underwriters a 45-day option to purchase up to an additional 7.5M shares of common stock at the public offering price per share, less the underwriting discounts and commissions, to cover over-allotments, if any. The offering is expected to close on or about May 4, 2026, subject to the satisfaction of customary closing conditions. The offering consisted entirely of common stock with no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Konik Capital Partners, LLC, a division of T.R. Winston &amp; Company, LLC, is acting as the sole book-running manager for the offering. </w:t>
      </w:r>
    </w:p>
    <w:p>
      <w:pPr>
        <w:pStyle w:val="TextBody"/>
        <w:bidi w:val="0"/>
        <w:spacing w:before="120" w:after="0"/>
        <w:jc w:val="left"/>
        <w:rPr>
          <w:rFonts w:ascii="Times New Roman" w:hAnsi="Times New Roman"/>
          <w:sz w:val="20"/>
        </w:rPr>
      </w:pPr>
      <w:r>
        <w:rPr>
          <w:rFonts w:ascii="Times New Roman" w:hAnsi="Times New Roman"/>
          <w:sz w:val="20"/>
        </w:rPr>
        <w:t xml:space="preserve">Rein intends to use the net proceeds from the offering to fully fund its ongoing Phase 2 clinical trial of LTI-03 in idiopathic pulmonary fibrosis (IPF) through completion and for working capital and general corporate purposes. Based on its current operating plan, the Company believes the net proceeds from this offering, together with its existing cash and cash equivalents, will be sufficient to fund its operations into 2028.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described above are being offered and sold pursuant to a registration statement on Form S-1 (File No. 333-295390), including a prospectus, filed with the U.S. Securities and Exchange Commission (the “SEC”), which was declared effective by the SEC on April 30, 2026. The offering is being made only by means of a prospectus that forms part of the effective registration statement. A final prospectus relating to the offering will be filed with the SEC and will be available on the SEC’s website at </w:t>
      </w:r>
      <w:r>
        <w:rPr>
          <w:rFonts w:ascii="Times New Roman" w:hAnsi="Times New Roman"/>
          <w:sz w:val="20"/>
          <w:u w:val="single"/>
        </w:rPr>
        <w:t>http://www.sec.gov</w:t>
      </w:r>
      <w:r>
        <w:rPr>
          <w:rFonts w:ascii="Times New Roman" w:hAnsi="Times New Roman"/>
          <w:sz w:val="20"/>
        </w:rPr>
        <w:t xml:space="preserve">. Copies of the final prospectus may be obtained, when available, from Konik Capital Partners, LLC, a division of T.R. Winston &amp; Company, LLC, at 7 World Trade Center, 46th Floor, New York, NY 10007, Attention: Capital Markets Team, Email: capmarkets@konikcapitalpartners.com. </w:t>
      </w:r>
    </w:p>
    <w:p>
      <w:pPr>
        <w:pStyle w:val="TextBody"/>
        <w:bidi w:val="0"/>
        <w:spacing w:before="240" w:after="0"/>
        <w:jc w:val="left"/>
        <w:rPr>
          <w:rFonts w:ascii="Times New Roman" w:hAnsi="Times New Roman"/>
          <w:sz w:val="20"/>
        </w:rPr>
      </w:pPr>
      <w:r>
        <w:rPr>
          <w:rFonts w:ascii="Times New Roman" w:hAnsi="Times New Roman"/>
          <w:sz w:val="20"/>
        </w:rPr>
        <w:t xml:space="preserve">This press release shall not constitute an offer to sell or the solicitation of an offer to buy any of the securities described herein, nor shall there be any sale of these securities in any state or jurisdiction in which such offer, solicitation or sale would be unlawful prior to registration or qualification under the securities laws of any such state or jurisdiction.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Rein Therapeutics </w:t>
      </w:r>
    </w:p>
    <w:p>
      <w:pPr>
        <w:pStyle w:val="TextBody"/>
        <w:bidi w:val="0"/>
        <w:spacing w:before="120" w:after="0"/>
        <w:jc w:val="left"/>
        <w:rPr>
          <w:rFonts w:ascii="Times New Roman" w:hAnsi="Times New Roman"/>
          <w:sz w:val="20"/>
        </w:rPr>
      </w:pPr>
      <w:r>
        <w:rPr>
          <w:rFonts w:ascii="Times New Roman" w:hAnsi="Times New Roman"/>
          <w:sz w:val="20"/>
        </w:rPr>
        <w:t xml:space="preserve">Rein Therapeutics is a clinical-stage biopharmaceutical company advancing a novel pipeline of first-in-class therapies to address significant unmet medical needs in orphan pulmonary and fibrosis indications. Rein’s lead product candidate, LTI-03, is a novel, synthetic peptide with a dual mechanism targeting alveolar epithelial cell survival as well as inhibition of profibrotic signaling. LTI-03 has received Orphan Drug Designation in the U.S. Rein’s second product candidate, LTI-01, is a proenzyme that has completed Phase 1b and Phase 2a clinical trials for the treatment of loculated pleural effusions. LTI-01 has received Orphan Drug Designation in the U.S. and E.U. and Fast Track Designation in the U.S.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Note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may contain forward-looking statements of Rein Therapeutics, Inc. (“Rein”, the “Company”, “we”, “our” or “us”) within the meaning of the Private Securities Litigation Reform Act of 1995, including statements with respect to expectations for the Company’s LTI-03 and LTI-01 product candidates and the closing of the offering. We use words such as “anticipate,” “believe,” “estimate,” “expect,” “hope,” “intend,” “may,” “plan,” “predict,” “project,” “target,” “potential,” “would,” “can,” “could,” “should,” “continue,” and other words and terms of similar meaning to help identify forward-looking statements, although not all forward-looking statements contain these identifying words. Actual results may differ materially from those indicated by such forward-looking statements as a result of various important factors, including: (i) the risk that the offering may not be completed, (ii) the risk that the net proceeds of the offering may not be sufficient to fund the Company’s operations into 2028, and (iii) those other risks disclosed in the “Risk Factors” section of the Company’s Annual Report on Form 10-K for the year ended December 31, 2025 filed with the SEC on March 26, 2026, and in subsequent filings that the Company makes with the SEC. These forward-looking statements should not be relied upon as representing the Company’s views as of any date after the date of this press release, and the Company expressly disclaims any obligation to update any forward-looking statements, whether as a result of new information, future events or otherwise, except as required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Rein Therapeutics Investor Relations &amp; Media Contact: </w:t>
      </w:r>
    </w:p>
    <w:p>
      <w:pPr>
        <w:pStyle w:val="TextBody"/>
        <w:bidi w:val="0"/>
        <w:spacing w:before="120" w:after="0"/>
        <w:jc w:val="left"/>
        <w:rPr>
          <w:rFonts w:ascii="Times New Roman" w:hAnsi="Times New Roman"/>
          <w:sz w:val="20"/>
        </w:rPr>
      </w:pPr>
      <w:r>
        <w:rPr>
          <w:rFonts w:ascii="Times New Roman" w:hAnsi="Times New Roman"/>
          <w:sz w:val="20"/>
        </w:rPr>
        <w:t xml:space="preserve">Investor Relations </w:t>
      </w:r>
    </w:p>
    <w:p>
      <w:pPr>
        <w:pStyle w:val="TextBody"/>
        <w:bidi w:val="0"/>
        <w:spacing w:before="120" w:after="0"/>
        <w:jc w:val="left"/>
        <w:rPr>
          <w:rFonts w:ascii="Times New Roman" w:hAnsi="Times New Roman"/>
          <w:b/>
          <w:sz w:val="20"/>
          <w:u w:val="single"/>
        </w:rPr>
      </w:pPr>
      <w:r>
        <w:rPr>
          <w:rFonts w:ascii="Times New Roman" w:hAnsi="Times New Roman"/>
          <w:b/>
          <w:sz w:val="20"/>
          <w:u w:val="single"/>
        </w:rPr>
        <w:t xml:space="preserve">IR@ReinTx.com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420565/000119312523266990/d571974dex3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63</Pages>
  <Words>37975</Words>
  <Characters>202070</Characters>
  <CharactersWithSpaces>240111</CharactersWithSpaces>
  <Paragraphs>698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